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8B" w:rsidRPr="00EA509E" w:rsidRDefault="009F538B" w:rsidP="009F538B">
      <w:pPr>
        <w:widowControl/>
        <w:rPr>
          <w:rFonts w:cs="Arial"/>
        </w:rPr>
      </w:pPr>
    </w:p>
    <w:tbl>
      <w:tblPr>
        <w:tblW w:w="9576" w:type="dxa"/>
        <w:tblLook w:val="04A0" w:firstRow="1" w:lastRow="0" w:firstColumn="1" w:lastColumn="0" w:noHBand="0" w:noVBand="1"/>
      </w:tblPr>
      <w:tblGrid>
        <w:gridCol w:w="828"/>
        <w:gridCol w:w="3960"/>
        <w:gridCol w:w="4788"/>
      </w:tblGrid>
      <w:tr w:rsidR="009F538B" w:rsidRPr="00790A4C" w:rsidTr="009F2DA7">
        <w:tc>
          <w:tcPr>
            <w:tcW w:w="4788" w:type="dxa"/>
            <w:gridSpan w:val="2"/>
          </w:tcPr>
          <w:p w:rsidR="009F538B" w:rsidRPr="00EA509E" w:rsidRDefault="009F538B" w:rsidP="009F2DA7">
            <w:pPr>
              <w:widowControl/>
              <w:rPr>
                <w:rFonts w:cs="Arial"/>
              </w:rPr>
            </w:pPr>
            <w:r w:rsidRPr="00EA509E">
              <w:rPr>
                <w:rFonts w:cs="Arial"/>
                <w:highlight w:val="yellow"/>
              </w:rPr>
              <w:t>DATE</w:t>
            </w:r>
          </w:p>
        </w:tc>
        <w:tc>
          <w:tcPr>
            <w:tcW w:w="4788" w:type="dxa"/>
          </w:tcPr>
          <w:p w:rsidR="009F538B" w:rsidRPr="00EA509E" w:rsidRDefault="009F538B" w:rsidP="009F2DA7">
            <w:pPr>
              <w:widowControl/>
              <w:rPr>
                <w:rFonts w:cs="Arial"/>
              </w:rPr>
            </w:pPr>
          </w:p>
        </w:tc>
      </w:tr>
      <w:tr w:rsidR="00790A4C" w:rsidRPr="00790A4C" w:rsidTr="00E72566">
        <w:tc>
          <w:tcPr>
            <w:tcW w:w="9576" w:type="dxa"/>
            <w:gridSpan w:val="3"/>
          </w:tcPr>
          <w:p w:rsidR="00790A4C" w:rsidRPr="00EA509E" w:rsidRDefault="00790A4C" w:rsidP="009F2DA7">
            <w:pPr>
              <w:widowControl/>
              <w:rPr>
                <w:rFonts w:cs="Arial"/>
              </w:rPr>
            </w:pPr>
          </w:p>
        </w:tc>
      </w:tr>
      <w:tr w:rsidR="009F538B" w:rsidRPr="00790A4C" w:rsidTr="00EA509E">
        <w:tblPrEx>
          <w:tblLook w:val="01E0" w:firstRow="1" w:lastRow="1" w:firstColumn="1" w:lastColumn="1" w:noHBand="0" w:noVBand="0"/>
        </w:tblPrEx>
        <w:tc>
          <w:tcPr>
            <w:tcW w:w="4788" w:type="dxa"/>
            <w:gridSpan w:val="2"/>
          </w:tcPr>
          <w:p w:rsidR="009F538B" w:rsidRPr="00EA509E" w:rsidRDefault="009F538B" w:rsidP="009F2DA7">
            <w:pPr>
              <w:jc w:val="right"/>
              <w:rPr>
                <w:rFonts w:cs="Arial"/>
              </w:rPr>
            </w:pPr>
            <w:r w:rsidRPr="00EA509E">
              <w:rPr>
                <w:rFonts w:cs="Arial"/>
              </w:rPr>
              <w:t>BY E-MAIL TO:</w:t>
            </w:r>
          </w:p>
        </w:tc>
        <w:tc>
          <w:tcPr>
            <w:tcW w:w="4788" w:type="dxa"/>
          </w:tcPr>
          <w:p w:rsidR="009F538B" w:rsidRPr="00EA509E" w:rsidRDefault="009F538B" w:rsidP="009F2DA7">
            <w:pPr>
              <w:jc w:val="both"/>
              <w:rPr>
                <w:rFonts w:cs="Arial"/>
              </w:rPr>
            </w:pPr>
            <w:r w:rsidRPr="00EA509E">
              <w:rPr>
                <w:rFonts w:cs="Arial"/>
                <w:highlight w:val="yellow"/>
              </w:rPr>
              <w:t>EMAIL</w:t>
            </w:r>
          </w:p>
        </w:tc>
      </w:tr>
      <w:tr w:rsidR="009F538B" w:rsidRPr="00790A4C" w:rsidTr="00EA509E">
        <w:tblPrEx>
          <w:tblLook w:val="01E0" w:firstRow="1" w:lastRow="1" w:firstColumn="1" w:lastColumn="1" w:noHBand="0" w:noVBand="0"/>
        </w:tblPrEx>
        <w:tc>
          <w:tcPr>
            <w:tcW w:w="4788" w:type="dxa"/>
            <w:gridSpan w:val="2"/>
          </w:tcPr>
          <w:p w:rsidR="009F538B" w:rsidRPr="00EA509E" w:rsidRDefault="009F538B" w:rsidP="009F2DA7">
            <w:pPr>
              <w:jc w:val="both"/>
              <w:rPr>
                <w:rFonts w:cs="Arial"/>
              </w:rPr>
            </w:pPr>
          </w:p>
        </w:tc>
        <w:tc>
          <w:tcPr>
            <w:tcW w:w="4788" w:type="dxa"/>
          </w:tcPr>
          <w:p w:rsidR="009F538B" w:rsidRPr="00EA509E" w:rsidRDefault="009F538B" w:rsidP="009F2DA7">
            <w:pPr>
              <w:jc w:val="both"/>
              <w:rPr>
                <w:rFonts w:cs="Arial"/>
              </w:rPr>
            </w:pPr>
          </w:p>
        </w:tc>
      </w:tr>
      <w:tr w:rsidR="009F538B" w:rsidRPr="00790A4C" w:rsidTr="00EA509E">
        <w:tblPrEx>
          <w:tblLook w:val="01E0" w:firstRow="1" w:lastRow="1" w:firstColumn="1" w:lastColumn="1" w:noHBand="0" w:noVBand="0"/>
        </w:tblPrEx>
        <w:tc>
          <w:tcPr>
            <w:tcW w:w="4788" w:type="dxa"/>
            <w:gridSpan w:val="2"/>
          </w:tcPr>
          <w:p w:rsidR="009F538B" w:rsidRPr="00EA509E" w:rsidRDefault="009F538B" w:rsidP="009F2DA7">
            <w:pPr>
              <w:jc w:val="right"/>
              <w:rPr>
                <w:rFonts w:cs="Arial"/>
              </w:rPr>
            </w:pPr>
            <w:r w:rsidRPr="00EA509E">
              <w:rPr>
                <w:rFonts w:cs="Arial"/>
              </w:rPr>
              <w:t>ORIGINAL BY CERTIFIED MAIL</w:t>
            </w:r>
          </w:p>
        </w:tc>
        <w:tc>
          <w:tcPr>
            <w:tcW w:w="4788" w:type="dxa"/>
          </w:tcPr>
          <w:p w:rsidR="009F538B" w:rsidRPr="00EA509E" w:rsidRDefault="009F538B" w:rsidP="009F2DA7">
            <w:pPr>
              <w:jc w:val="both"/>
              <w:rPr>
                <w:rFonts w:cs="Arial"/>
              </w:rPr>
            </w:pPr>
          </w:p>
        </w:tc>
      </w:tr>
      <w:tr w:rsidR="009F538B" w:rsidRPr="00790A4C" w:rsidTr="00EA509E">
        <w:tblPrEx>
          <w:tblLook w:val="01E0" w:firstRow="1" w:lastRow="1" w:firstColumn="1" w:lastColumn="1" w:noHBand="0" w:noVBand="0"/>
        </w:tblPrEx>
        <w:tc>
          <w:tcPr>
            <w:tcW w:w="4788" w:type="dxa"/>
            <w:gridSpan w:val="2"/>
          </w:tcPr>
          <w:p w:rsidR="009F538B" w:rsidRPr="00EA509E" w:rsidRDefault="009F538B" w:rsidP="009F2DA7">
            <w:pPr>
              <w:jc w:val="right"/>
              <w:rPr>
                <w:rFonts w:cs="Arial"/>
              </w:rPr>
            </w:pPr>
            <w:r w:rsidRPr="00EA509E">
              <w:rPr>
                <w:rFonts w:cs="Arial"/>
              </w:rPr>
              <w:t>RETURN RECEIPT REQUESTED</w:t>
            </w:r>
          </w:p>
        </w:tc>
        <w:tc>
          <w:tcPr>
            <w:tcW w:w="4788" w:type="dxa"/>
          </w:tcPr>
          <w:p w:rsidR="009F538B" w:rsidRPr="00EA509E" w:rsidRDefault="009F538B" w:rsidP="009F2DA7">
            <w:pPr>
              <w:jc w:val="both"/>
              <w:rPr>
                <w:rFonts w:cs="Arial"/>
              </w:rPr>
            </w:pPr>
          </w:p>
        </w:tc>
      </w:tr>
      <w:tr w:rsidR="009F538B" w:rsidRPr="00790A4C" w:rsidTr="00EA509E">
        <w:tblPrEx>
          <w:tblLook w:val="01E0" w:firstRow="1" w:lastRow="1" w:firstColumn="1" w:lastColumn="1" w:noHBand="0" w:noVBand="0"/>
        </w:tblPrEx>
        <w:tc>
          <w:tcPr>
            <w:tcW w:w="4788" w:type="dxa"/>
            <w:gridSpan w:val="2"/>
          </w:tcPr>
          <w:p w:rsidR="009F538B" w:rsidRPr="00EA509E" w:rsidRDefault="009F538B" w:rsidP="009F2DA7">
            <w:pPr>
              <w:jc w:val="right"/>
              <w:rPr>
                <w:rFonts w:cs="Arial"/>
              </w:rPr>
            </w:pPr>
            <w:r w:rsidRPr="00EA509E">
              <w:rPr>
                <w:rFonts w:cs="Arial"/>
              </w:rPr>
              <w:t>RECEIPT NUMBERS:</w:t>
            </w:r>
          </w:p>
        </w:tc>
        <w:tc>
          <w:tcPr>
            <w:tcW w:w="4788" w:type="dxa"/>
            <w:tcBorders>
              <w:bottom w:val="single" w:sz="4" w:space="0" w:color="auto"/>
            </w:tcBorders>
          </w:tcPr>
          <w:p w:rsidR="009F538B" w:rsidRPr="00EA509E" w:rsidRDefault="009F538B" w:rsidP="009F2DA7">
            <w:pPr>
              <w:jc w:val="both"/>
              <w:rPr>
                <w:rFonts w:cs="Arial"/>
              </w:rPr>
            </w:pPr>
            <w:r w:rsidRPr="00EA509E">
              <w:rPr>
                <w:rFonts w:cs="Arial"/>
                <w:highlight w:val="yellow"/>
              </w:rPr>
              <w:t>RECEIPT NUMBER</w:t>
            </w:r>
          </w:p>
        </w:tc>
      </w:tr>
      <w:tr w:rsidR="00790A4C" w:rsidRPr="00790A4C" w:rsidTr="008E5690">
        <w:tblPrEx>
          <w:tblLook w:val="01E0" w:firstRow="1" w:lastRow="1" w:firstColumn="1" w:lastColumn="1" w:noHBand="0" w:noVBand="0"/>
        </w:tblPrEx>
        <w:tc>
          <w:tcPr>
            <w:tcW w:w="9576" w:type="dxa"/>
            <w:gridSpan w:val="3"/>
          </w:tcPr>
          <w:p w:rsidR="00790A4C" w:rsidRPr="00EA509E" w:rsidRDefault="00790A4C" w:rsidP="009F2DA7">
            <w:pPr>
              <w:jc w:val="both"/>
              <w:rPr>
                <w:rFonts w:cs="Arial"/>
              </w:rPr>
            </w:pPr>
          </w:p>
        </w:tc>
      </w:tr>
      <w:tr w:rsidR="00A150FB" w:rsidRPr="00790A4C" w:rsidTr="005244B1">
        <w:tblPrEx>
          <w:tblLook w:val="01E0" w:firstRow="1" w:lastRow="1" w:firstColumn="1" w:lastColumn="1" w:noHBand="0" w:noVBand="0"/>
        </w:tblPrEx>
        <w:trPr>
          <w:trHeight w:val="1265"/>
        </w:trPr>
        <w:tc>
          <w:tcPr>
            <w:tcW w:w="4788" w:type="dxa"/>
            <w:gridSpan w:val="2"/>
            <w:tcBorders>
              <w:bottom w:val="nil"/>
            </w:tcBorders>
          </w:tcPr>
          <w:p w:rsidR="00A150FB" w:rsidRPr="00EA509E" w:rsidRDefault="00A150FB" w:rsidP="009F2DA7">
            <w:pPr>
              <w:jc w:val="both"/>
              <w:rPr>
                <w:rFonts w:cs="Arial"/>
              </w:rPr>
            </w:pPr>
            <w:r w:rsidRPr="00EA509E">
              <w:rPr>
                <w:rFonts w:cs="Arial"/>
                <w:highlight w:val="yellow"/>
              </w:rPr>
              <w:t>NAME</w:t>
            </w:r>
          </w:p>
          <w:p w:rsidR="00A150FB" w:rsidRPr="00EA509E" w:rsidRDefault="00A150FB" w:rsidP="009F2DA7">
            <w:pPr>
              <w:jc w:val="both"/>
              <w:rPr>
                <w:rFonts w:cs="Arial"/>
              </w:rPr>
            </w:pPr>
            <w:r w:rsidRPr="00EA509E">
              <w:rPr>
                <w:rFonts w:cs="Arial"/>
              </w:rPr>
              <w:t>Federal Aviation Administration</w:t>
            </w:r>
          </w:p>
          <w:p w:rsidR="00A150FB" w:rsidRPr="00EA509E" w:rsidRDefault="00A150FB" w:rsidP="009F2DA7">
            <w:pPr>
              <w:jc w:val="both"/>
              <w:rPr>
                <w:rFonts w:cs="Arial"/>
              </w:rPr>
            </w:pPr>
            <w:r w:rsidRPr="00EA509E">
              <w:rPr>
                <w:rFonts w:cs="Arial"/>
              </w:rPr>
              <w:t>Flight Standards District Office</w:t>
            </w:r>
          </w:p>
          <w:p w:rsidR="00A150FB" w:rsidRPr="00EA509E" w:rsidRDefault="00A150FB" w:rsidP="009F2DA7">
            <w:pPr>
              <w:jc w:val="both"/>
              <w:rPr>
                <w:rFonts w:cs="Arial"/>
              </w:rPr>
            </w:pPr>
            <w:r w:rsidRPr="00EA509E">
              <w:rPr>
                <w:rFonts w:cs="Arial"/>
                <w:highlight w:val="yellow"/>
              </w:rPr>
              <w:t>ADDRESS</w:t>
            </w:r>
          </w:p>
          <w:p w:rsidR="00A150FB" w:rsidRPr="00EA509E" w:rsidRDefault="00A150FB" w:rsidP="009F2DA7">
            <w:pPr>
              <w:jc w:val="both"/>
              <w:rPr>
                <w:rFonts w:cs="Arial"/>
              </w:rPr>
            </w:pPr>
            <w:r w:rsidRPr="00EA509E">
              <w:rPr>
                <w:rFonts w:cs="Arial"/>
                <w:highlight w:val="yellow"/>
              </w:rPr>
              <w:t>CITY STATE ZIP</w:t>
            </w:r>
          </w:p>
        </w:tc>
        <w:tc>
          <w:tcPr>
            <w:tcW w:w="4788" w:type="dxa"/>
          </w:tcPr>
          <w:p w:rsidR="00A150FB" w:rsidRPr="00EA509E" w:rsidRDefault="00A150FB" w:rsidP="009F2DA7">
            <w:pPr>
              <w:jc w:val="both"/>
              <w:rPr>
                <w:rFonts w:cs="Arial"/>
              </w:rPr>
            </w:pPr>
          </w:p>
        </w:tc>
      </w:tr>
      <w:tr w:rsidR="009F538B" w:rsidRPr="00790A4C" w:rsidTr="009F2DA7">
        <w:tblPrEx>
          <w:tblLook w:val="01E0" w:firstRow="1" w:lastRow="1" w:firstColumn="1" w:lastColumn="1" w:noHBand="0" w:noVBand="0"/>
        </w:tblPrEx>
        <w:tc>
          <w:tcPr>
            <w:tcW w:w="828" w:type="dxa"/>
          </w:tcPr>
          <w:p w:rsidR="009F538B" w:rsidRPr="00EA509E" w:rsidRDefault="009F538B" w:rsidP="009F2DA7">
            <w:pPr>
              <w:jc w:val="both"/>
              <w:rPr>
                <w:rFonts w:cs="Arial"/>
              </w:rPr>
            </w:pPr>
            <w:r w:rsidRPr="00EA509E">
              <w:rPr>
                <w:rFonts w:cs="Arial"/>
              </w:rPr>
              <w:t>RE:</w:t>
            </w:r>
          </w:p>
        </w:tc>
        <w:tc>
          <w:tcPr>
            <w:tcW w:w="8748" w:type="dxa"/>
            <w:gridSpan w:val="2"/>
          </w:tcPr>
          <w:p w:rsidR="009F538B" w:rsidRPr="00EA509E" w:rsidRDefault="00DF0CDB" w:rsidP="009F2DA7">
            <w:pPr>
              <w:jc w:val="both"/>
              <w:rPr>
                <w:rFonts w:cs="Arial"/>
              </w:rPr>
            </w:pPr>
            <w:r w:rsidRPr="00EA509E">
              <w:rPr>
                <w:rFonts w:cs="Arial"/>
              </w:rPr>
              <w:t xml:space="preserve">Compliance with 14 CFR </w:t>
            </w:r>
            <w:hyperlink r:id="rId8" w:history="1">
              <w:r w:rsidR="00790A4C" w:rsidRPr="00D64B8B">
                <w:rPr>
                  <w:rStyle w:val="Hyperlink"/>
                  <w:rFonts w:cs="Arial"/>
                </w:rPr>
                <w:t>§ 145.221(a)</w:t>
              </w:r>
            </w:hyperlink>
          </w:p>
        </w:tc>
      </w:tr>
    </w:tbl>
    <w:p w:rsidR="009F538B" w:rsidRPr="00EA509E" w:rsidRDefault="009F538B" w:rsidP="009F538B">
      <w:pPr>
        <w:rPr>
          <w:rFonts w:cs="Arial"/>
        </w:rPr>
      </w:pPr>
    </w:p>
    <w:p w:rsidR="009F538B" w:rsidRPr="00EA509E" w:rsidRDefault="009F538B" w:rsidP="006428D8">
      <w:pPr>
        <w:widowControl/>
        <w:jc w:val="both"/>
        <w:rPr>
          <w:rFonts w:cs="Arial"/>
        </w:rPr>
      </w:pPr>
      <w:r w:rsidRPr="00EA509E">
        <w:rPr>
          <w:rFonts w:cs="Arial"/>
        </w:rPr>
        <w:t xml:space="preserve">Dear </w:t>
      </w:r>
      <w:r w:rsidRPr="00EA509E">
        <w:rPr>
          <w:rFonts w:cs="Arial"/>
          <w:highlight w:val="yellow"/>
        </w:rPr>
        <w:t>NAME</w:t>
      </w:r>
      <w:r w:rsidRPr="00EA509E">
        <w:rPr>
          <w:rFonts w:cs="Arial"/>
        </w:rPr>
        <w:t>:</w:t>
      </w:r>
    </w:p>
    <w:p w:rsidR="009F538B" w:rsidRPr="00EA509E" w:rsidRDefault="009F538B" w:rsidP="006428D8">
      <w:pPr>
        <w:widowControl/>
        <w:jc w:val="both"/>
        <w:rPr>
          <w:rFonts w:cs="Arial"/>
        </w:rPr>
      </w:pPr>
    </w:p>
    <w:p w:rsidR="009F538B" w:rsidRPr="00EA509E" w:rsidRDefault="0091457E" w:rsidP="006428D8">
      <w:pPr>
        <w:jc w:val="both"/>
        <w:rPr>
          <w:rFonts w:cs="Arial"/>
        </w:rPr>
      </w:pPr>
      <w:r>
        <w:rPr>
          <w:rFonts w:cs="Arial"/>
        </w:rPr>
        <w:t>This</w:t>
      </w:r>
      <w:r w:rsidR="00DF0CDB" w:rsidRPr="00EA509E">
        <w:rPr>
          <w:rFonts w:cs="Arial"/>
        </w:rPr>
        <w:t xml:space="preserve"> response is t</w:t>
      </w:r>
      <w:r w:rsidR="00A150FB" w:rsidRPr="00EA509E">
        <w:rPr>
          <w:rFonts w:cs="Arial"/>
        </w:rPr>
        <w:t xml:space="preserve">o </w:t>
      </w:r>
      <w:r w:rsidR="00DF0CDB" w:rsidRPr="00EA509E">
        <w:rPr>
          <w:rFonts w:cs="Arial"/>
        </w:rPr>
        <w:t xml:space="preserve">explain this company’s compliance with </w:t>
      </w:r>
      <w:r w:rsidR="008944E5" w:rsidRPr="00EA509E">
        <w:rPr>
          <w:rFonts w:cs="Arial"/>
        </w:rPr>
        <w:t xml:space="preserve">Title </w:t>
      </w:r>
      <w:r w:rsidR="00DF0CDB" w:rsidRPr="00EA509E">
        <w:rPr>
          <w:rFonts w:cs="Arial"/>
        </w:rPr>
        <w:t xml:space="preserve">14 </w:t>
      </w:r>
      <w:r w:rsidR="008944E5" w:rsidRPr="00EA509E">
        <w:rPr>
          <w:rFonts w:cs="Arial"/>
        </w:rPr>
        <w:t xml:space="preserve">of the </w:t>
      </w:r>
      <w:r w:rsidR="00DF0CDB" w:rsidRPr="00EA509E">
        <w:rPr>
          <w:rFonts w:cs="Arial"/>
        </w:rPr>
        <w:t xml:space="preserve">Code of Federal Regulations (CFR) </w:t>
      </w:r>
      <w:hyperlink r:id="rId9" w:history="1">
        <w:r w:rsidR="00DF0CDB" w:rsidRPr="00EA509E">
          <w:rPr>
            <w:rStyle w:val="Hyperlink"/>
            <w:rFonts w:cs="Arial"/>
          </w:rPr>
          <w:t>§ 145.221(a)</w:t>
        </w:r>
      </w:hyperlink>
      <w:r w:rsidR="00A150FB" w:rsidRPr="00EA509E">
        <w:rPr>
          <w:rFonts w:cs="Arial"/>
        </w:rPr>
        <w:t>.</w:t>
      </w:r>
    </w:p>
    <w:p w:rsidR="00E76598" w:rsidRPr="00EA509E" w:rsidRDefault="00E76598" w:rsidP="006428D8">
      <w:pPr>
        <w:jc w:val="both"/>
        <w:rPr>
          <w:rFonts w:cs="Arial"/>
        </w:rPr>
      </w:pPr>
    </w:p>
    <w:p w:rsidR="00E76598" w:rsidRPr="00EA509E" w:rsidRDefault="00E76598" w:rsidP="006428D8">
      <w:pPr>
        <w:jc w:val="both"/>
        <w:rPr>
          <w:rFonts w:cs="Arial"/>
        </w:rPr>
      </w:pPr>
      <w:r w:rsidRPr="00EA509E">
        <w:rPr>
          <w:rFonts w:cs="Arial"/>
        </w:rPr>
        <w:t xml:space="preserve">The undersigned contends that </w:t>
      </w:r>
      <w:r w:rsidR="00DF0CDB" w:rsidRPr="00EA509E">
        <w:rPr>
          <w:rFonts w:cs="Arial"/>
        </w:rPr>
        <w:t>the section</w:t>
      </w:r>
      <w:r w:rsidRPr="00EA509E">
        <w:rPr>
          <w:rFonts w:cs="Arial"/>
        </w:rPr>
        <w:t xml:space="preserve"> was issued in violation of the Administrative Procedure Act (APA),</w:t>
      </w:r>
      <w:r w:rsidRPr="00EA509E">
        <w:rPr>
          <w:rStyle w:val="FootnoteReference"/>
          <w:rFonts w:cs="Arial"/>
        </w:rPr>
        <w:footnoteReference w:id="1"/>
      </w:r>
      <w:r w:rsidRPr="00EA509E">
        <w:rPr>
          <w:rFonts w:cs="Arial"/>
        </w:rPr>
        <w:t xml:space="preserve"> and is therefore unenforceable.</w:t>
      </w:r>
      <w:r w:rsidR="007B3B26" w:rsidRPr="00EA509E">
        <w:rPr>
          <w:rStyle w:val="FootnoteReference"/>
          <w:rFonts w:cs="Arial"/>
        </w:rPr>
        <w:footnoteReference w:id="2"/>
      </w:r>
      <w:r w:rsidRPr="00EA509E">
        <w:rPr>
          <w:rFonts w:cs="Arial"/>
        </w:rPr>
        <w:t xml:space="preserve"> </w:t>
      </w:r>
      <w:r w:rsidR="007B3B26" w:rsidRPr="00EA509E">
        <w:rPr>
          <w:rFonts w:cs="Arial"/>
        </w:rPr>
        <w:t xml:space="preserve">Thus, </w:t>
      </w:r>
      <w:r w:rsidR="00A65979" w:rsidRPr="00EA509E">
        <w:rPr>
          <w:rFonts w:cs="Arial"/>
        </w:rPr>
        <w:t xml:space="preserve">any </w:t>
      </w:r>
      <w:r w:rsidR="007B3B26" w:rsidRPr="00EA509E">
        <w:rPr>
          <w:rFonts w:cs="Arial"/>
        </w:rPr>
        <w:t xml:space="preserve">allegation </w:t>
      </w:r>
      <w:r w:rsidR="00DF0CDB" w:rsidRPr="00EA509E">
        <w:rPr>
          <w:rFonts w:cs="Arial"/>
        </w:rPr>
        <w:t xml:space="preserve">that this repair station is in non-compliance because it is not reporting </w:t>
      </w:r>
      <w:r w:rsidR="00DF0CDB" w:rsidRPr="00EA509E">
        <w:rPr>
          <w:rFonts w:cs="Arial"/>
          <w:i/>
        </w:rPr>
        <w:t>all</w:t>
      </w:r>
      <w:r w:rsidR="00DF0CDB" w:rsidRPr="00EA509E">
        <w:rPr>
          <w:rFonts w:cs="Arial"/>
        </w:rPr>
        <w:t xml:space="preserve"> failures, malfunctions and defects is </w:t>
      </w:r>
      <w:r w:rsidR="008944E5" w:rsidRPr="00EA509E">
        <w:rPr>
          <w:rFonts w:cs="Arial"/>
        </w:rPr>
        <w:t>without merit</w:t>
      </w:r>
      <w:r w:rsidR="00DF0CDB" w:rsidRPr="00EA509E">
        <w:rPr>
          <w:rFonts w:cs="Arial"/>
        </w:rPr>
        <w:t>.</w:t>
      </w:r>
      <w:r w:rsidR="007A30CF" w:rsidRPr="00EA509E">
        <w:rPr>
          <w:rFonts w:cs="Arial"/>
        </w:rPr>
        <w:t xml:space="preserve"> The company </w:t>
      </w:r>
      <w:r w:rsidR="00790A4C" w:rsidRPr="00EA509E">
        <w:rPr>
          <w:rFonts w:cs="Arial"/>
        </w:rPr>
        <w:t>complies with</w:t>
      </w:r>
      <w:r w:rsidR="007A30CF" w:rsidRPr="00EA509E">
        <w:rPr>
          <w:rFonts w:cs="Arial"/>
        </w:rPr>
        <w:t xml:space="preserve"> the version of </w:t>
      </w:r>
      <w:hyperlink r:id="rId10" w:history="1">
        <w:r w:rsidR="00EA509E" w:rsidRPr="00EA509E">
          <w:rPr>
            <w:rStyle w:val="Hyperlink"/>
            <w:rFonts w:cs="Arial"/>
          </w:rPr>
          <w:t>§ 145.221(a)</w:t>
        </w:r>
      </w:hyperlink>
      <w:r w:rsidR="00EA509E">
        <w:rPr>
          <w:rFonts w:cs="Arial"/>
        </w:rPr>
        <w:t xml:space="preserve"> </w:t>
      </w:r>
      <w:r w:rsidR="007A30CF" w:rsidRPr="00EA509E">
        <w:rPr>
          <w:rFonts w:cs="Arial"/>
        </w:rPr>
        <w:t>in force before November 10, 2014 by submitting reports on serious failures, malfunctions and defects.</w:t>
      </w:r>
    </w:p>
    <w:p w:rsidR="00C7211E" w:rsidRPr="00EA509E" w:rsidRDefault="00C7211E" w:rsidP="006428D8">
      <w:pPr>
        <w:widowControl/>
        <w:jc w:val="both"/>
        <w:rPr>
          <w:rFonts w:cs="Arial"/>
        </w:rPr>
      </w:pPr>
    </w:p>
    <w:p w:rsidR="0035494C" w:rsidRPr="00EA509E" w:rsidRDefault="00930742" w:rsidP="006428D8">
      <w:pPr>
        <w:widowControl/>
        <w:jc w:val="both"/>
        <w:rPr>
          <w:rFonts w:cs="Arial"/>
        </w:rPr>
      </w:pPr>
      <w:r w:rsidRPr="00EA509E">
        <w:rPr>
          <w:rFonts w:cs="Arial"/>
        </w:rPr>
        <w:t xml:space="preserve">In 2001, the word </w:t>
      </w:r>
      <w:r w:rsidR="00DF0CDB" w:rsidRPr="00EA509E">
        <w:rPr>
          <w:rFonts w:cs="Arial"/>
        </w:rPr>
        <w:t>“serious” was removed from 14 CFR</w:t>
      </w:r>
      <w:r w:rsidRPr="00EA509E">
        <w:rPr>
          <w:rFonts w:cs="Arial"/>
        </w:rPr>
        <w:t xml:space="preserve"> </w:t>
      </w:r>
      <w:hyperlink r:id="rId11" w:history="1">
        <w:r w:rsidRPr="00EA509E">
          <w:rPr>
            <w:rStyle w:val="Hyperlink"/>
            <w:rFonts w:cs="Arial"/>
          </w:rPr>
          <w:t>§ 145.221</w:t>
        </w:r>
      </w:hyperlink>
      <w:r w:rsidR="007A30CF" w:rsidRPr="00EA509E">
        <w:rPr>
          <w:rFonts w:cs="Arial"/>
        </w:rPr>
        <w:t>;</w:t>
      </w:r>
      <w:r w:rsidRPr="00EA509E">
        <w:rPr>
          <w:rStyle w:val="FootnoteReference"/>
          <w:rFonts w:cs="Arial"/>
        </w:rPr>
        <w:footnoteReference w:id="3"/>
      </w:r>
      <w:r w:rsidRPr="00EA509E">
        <w:rPr>
          <w:rFonts w:cs="Arial"/>
        </w:rPr>
        <w:t xml:space="preserve"> </w:t>
      </w:r>
      <w:r w:rsidR="007A30CF" w:rsidRPr="00EA509E">
        <w:rPr>
          <w:rFonts w:cs="Arial"/>
        </w:rPr>
        <w:t>in 2003</w:t>
      </w:r>
      <w:r w:rsidRPr="00EA509E">
        <w:rPr>
          <w:rFonts w:cs="Arial"/>
        </w:rPr>
        <w:t xml:space="preserve"> </w:t>
      </w:r>
      <w:r w:rsidR="007A30CF" w:rsidRPr="00EA509E">
        <w:rPr>
          <w:rFonts w:cs="Arial"/>
        </w:rPr>
        <w:t xml:space="preserve">the word </w:t>
      </w:r>
      <w:r w:rsidRPr="00EA509E">
        <w:rPr>
          <w:rFonts w:cs="Arial"/>
        </w:rPr>
        <w:t>was appropriately reinserted as a direct consequence of public comments.</w:t>
      </w:r>
      <w:r w:rsidRPr="00EA509E">
        <w:rPr>
          <w:rStyle w:val="FootnoteReference"/>
          <w:rFonts w:cs="Arial"/>
        </w:rPr>
        <w:footnoteReference w:id="4"/>
      </w:r>
      <w:r w:rsidRPr="00EA509E">
        <w:rPr>
          <w:rFonts w:cs="Arial"/>
        </w:rPr>
        <w:t xml:space="preserve"> </w:t>
      </w:r>
      <w:r w:rsidR="00760485" w:rsidRPr="00EA509E">
        <w:rPr>
          <w:rFonts w:cs="Arial"/>
        </w:rPr>
        <w:t>The agency’s subsequent removal</w:t>
      </w:r>
      <w:r w:rsidR="00760485" w:rsidRPr="00EA509E">
        <w:rPr>
          <w:rStyle w:val="FootnoteReference"/>
          <w:rFonts w:cs="Arial"/>
        </w:rPr>
        <w:footnoteReference w:id="5"/>
      </w:r>
      <w:r w:rsidR="00760485" w:rsidRPr="00EA509E">
        <w:rPr>
          <w:rFonts w:cs="Arial"/>
        </w:rPr>
        <w:t xml:space="preserve"> of </w:t>
      </w:r>
      <w:r w:rsidR="008944E5" w:rsidRPr="00EA509E">
        <w:rPr>
          <w:rFonts w:cs="Arial"/>
        </w:rPr>
        <w:t xml:space="preserve">the word </w:t>
      </w:r>
      <w:r w:rsidR="00760485" w:rsidRPr="00EA509E">
        <w:rPr>
          <w:rFonts w:cs="Arial"/>
        </w:rPr>
        <w:t xml:space="preserve">“serious” without notice or </w:t>
      </w:r>
      <w:r w:rsidR="008944E5" w:rsidRPr="00EA509E">
        <w:rPr>
          <w:rFonts w:cs="Arial"/>
        </w:rPr>
        <w:t xml:space="preserve">public </w:t>
      </w:r>
      <w:r w:rsidR="00760485" w:rsidRPr="00EA509E">
        <w:rPr>
          <w:rFonts w:cs="Arial"/>
        </w:rPr>
        <w:t>comment violate</w:t>
      </w:r>
      <w:r w:rsidR="007A30CF" w:rsidRPr="00EA509E">
        <w:rPr>
          <w:rFonts w:cs="Arial"/>
        </w:rPr>
        <w:t>d</w:t>
      </w:r>
      <w:r w:rsidR="00760485" w:rsidRPr="00EA509E">
        <w:rPr>
          <w:rFonts w:cs="Arial"/>
        </w:rPr>
        <w:t xml:space="preserve"> the APA, and is therefore invalid. </w:t>
      </w:r>
    </w:p>
    <w:p w:rsidR="006428D8" w:rsidRPr="00EA509E" w:rsidRDefault="006428D8" w:rsidP="006428D8">
      <w:pPr>
        <w:widowControl/>
        <w:jc w:val="both"/>
        <w:rPr>
          <w:rFonts w:cs="Arial"/>
        </w:rPr>
      </w:pPr>
    </w:p>
    <w:p w:rsidR="006428D8" w:rsidRPr="00EA509E" w:rsidRDefault="006428D8" w:rsidP="006428D8">
      <w:pPr>
        <w:pStyle w:val="NoSpacing"/>
        <w:jc w:val="both"/>
        <w:rPr>
          <w:rFonts w:eastAsia="Times New Roman" w:cs="Arial"/>
          <w:szCs w:val="24"/>
        </w:rPr>
      </w:pPr>
      <w:r w:rsidRPr="00EA509E">
        <w:rPr>
          <w:rFonts w:cs="Arial"/>
          <w:szCs w:val="24"/>
        </w:rPr>
        <w:t xml:space="preserve">The </w:t>
      </w:r>
      <w:r w:rsidR="00A8060E" w:rsidRPr="00EA509E">
        <w:rPr>
          <w:rFonts w:cs="Arial"/>
          <w:szCs w:val="24"/>
        </w:rPr>
        <w:t>APA</w:t>
      </w:r>
      <w:r w:rsidRPr="00EA509E">
        <w:rPr>
          <w:rFonts w:cs="Arial"/>
          <w:szCs w:val="24"/>
        </w:rPr>
        <w:t xml:space="preserve"> prescribes procedural requirements </w:t>
      </w:r>
      <w:r w:rsidR="00DF0CDB" w:rsidRPr="00EA509E">
        <w:rPr>
          <w:rFonts w:cs="Arial"/>
          <w:szCs w:val="24"/>
        </w:rPr>
        <w:t>for</w:t>
      </w:r>
      <w:r w:rsidRPr="00EA509E">
        <w:rPr>
          <w:rFonts w:cs="Arial"/>
          <w:szCs w:val="24"/>
        </w:rPr>
        <w:t xml:space="preserve"> creating or amending agency rules in order for them to have the force of law. Unlike general policy statement</w:t>
      </w:r>
      <w:r w:rsidR="00EA509E">
        <w:rPr>
          <w:rFonts w:cs="Arial"/>
          <w:szCs w:val="24"/>
        </w:rPr>
        <w:t>s</w:t>
      </w:r>
      <w:r w:rsidRPr="00EA509E">
        <w:rPr>
          <w:rFonts w:cs="Arial"/>
          <w:szCs w:val="24"/>
        </w:rPr>
        <w:t xml:space="preserve"> or interpretive </w:t>
      </w:r>
      <w:r w:rsidR="007A30CF" w:rsidRPr="00EA509E">
        <w:rPr>
          <w:rFonts w:cs="Arial"/>
          <w:szCs w:val="24"/>
        </w:rPr>
        <w:t>regulations</w:t>
      </w:r>
      <w:r w:rsidRPr="00EA509E">
        <w:rPr>
          <w:rFonts w:cs="Arial"/>
          <w:szCs w:val="24"/>
        </w:rPr>
        <w:t>, rules that impose binding obligations on the public (</w:t>
      </w:r>
      <w:r w:rsidRPr="00EA509E">
        <w:rPr>
          <w:rFonts w:cs="Arial"/>
          <w:i/>
          <w:szCs w:val="24"/>
        </w:rPr>
        <w:t>i.e.</w:t>
      </w:r>
      <w:r w:rsidRPr="00EA509E">
        <w:rPr>
          <w:rFonts w:cs="Arial"/>
          <w:szCs w:val="24"/>
        </w:rPr>
        <w:t>, “substantive” and “legislative” rules) must be properly noticed and submitted to the public for comment.</w:t>
      </w:r>
      <w:r w:rsidR="007A30CF" w:rsidRPr="00EA509E">
        <w:rPr>
          <w:rStyle w:val="FootnoteReference"/>
          <w:rFonts w:cs="Arial"/>
          <w:szCs w:val="24"/>
        </w:rPr>
        <w:footnoteReference w:id="6"/>
      </w:r>
      <w:r w:rsidRPr="00EA509E">
        <w:rPr>
          <w:rFonts w:cs="Arial"/>
          <w:szCs w:val="24"/>
        </w:rPr>
        <w:t xml:space="preserve"> </w:t>
      </w:r>
      <w:r w:rsidRPr="00EA509E">
        <w:rPr>
          <w:rFonts w:eastAsia="Times New Roman" w:cs="Arial"/>
          <w:szCs w:val="24"/>
        </w:rPr>
        <w:t xml:space="preserve"> </w:t>
      </w:r>
      <w:r w:rsidR="00DF0CDB" w:rsidRPr="00EA509E">
        <w:rPr>
          <w:rFonts w:eastAsia="Times New Roman" w:cs="Arial"/>
          <w:szCs w:val="24"/>
        </w:rPr>
        <w:t>Indeed,</w:t>
      </w:r>
      <w:r w:rsidRPr="00EA509E">
        <w:rPr>
          <w:rFonts w:cs="Arial"/>
          <w:szCs w:val="24"/>
        </w:rPr>
        <w:t xml:space="preserve"> the DC Circuit expressly rejected claims that agencies have the “inherent authority” to make even the most minor corrections to previously implemented </w:t>
      </w:r>
      <w:r w:rsidRPr="00EA509E">
        <w:rPr>
          <w:rFonts w:cs="Arial"/>
          <w:szCs w:val="24"/>
        </w:rPr>
        <w:lastRenderedPageBreak/>
        <w:t>regulations without complying with the APA’s notice and comment requirements.</w:t>
      </w:r>
      <w:r w:rsidR="007A30CF" w:rsidRPr="00EA509E">
        <w:rPr>
          <w:rStyle w:val="FootnoteReference"/>
          <w:rFonts w:cs="Arial"/>
          <w:szCs w:val="24"/>
        </w:rPr>
        <w:footnoteReference w:id="7"/>
      </w:r>
      <w:r w:rsidR="003237ED">
        <w:rPr>
          <w:rFonts w:cs="Arial"/>
          <w:szCs w:val="24"/>
        </w:rPr>
        <w:t xml:space="preserve"> </w:t>
      </w:r>
      <w:r w:rsidRPr="00EA509E">
        <w:rPr>
          <w:rFonts w:eastAsia="Times New Roman" w:cs="Arial"/>
          <w:szCs w:val="24"/>
        </w:rPr>
        <w:t xml:space="preserve">In the </w:t>
      </w:r>
      <w:r w:rsidR="00092054" w:rsidRPr="00EA509E">
        <w:rPr>
          <w:rFonts w:eastAsia="Times New Roman" w:cs="Arial"/>
          <w:szCs w:val="24"/>
        </w:rPr>
        <w:t>instan</w:t>
      </w:r>
      <w:r w:rsidR="00092054">
        <w:rPr>
          <w:rFonts w:eastAsia="Times New Roman" w:cs="Arial"/>
          <w:szCs w:val="24"/>
        </w:rPr>
        <w:t>t</w:t>
      </w:r>
      <w:r w:rsidR="00092054" w:rsidRPr="00EA509E">
        <w:rPr>
          <w:rFonts w:eastAsia="Times New Roman" w:cs="Arial"/>
          <w:szCs w:val="24"/>
        </w:rPr>
        <w:t xml:space="preserve"> </w:t>
      </w:r>
      <w:r w:rsidRPr="00EA509E">
        <w:rPr>
          <w:rFonts w:eastAsia="Times New Roman" w:cs="Arial"/>
          <w:szCs w:val="24"/>
        </w:rPr>
        <w:t>case, the FAA imposed entirely new substantive r</w:t>
      </w:r>
      <w:r w:rsidR="002E7B3B" w:rsidRPr="00EA509E">
        <w:rPr>
          <w:rFonts w:eastAsia="Times New Roman" w:cs="Arial"/>
          <w:szCs w:val="24"/>
        </w:rPr>
        <w:t>eporting obligations under the service difficulty r</w:t>
      </w:r>
      <w:r w:rsidRPr="00EA509E">
        <w:rPr>
          <w:rFonts w:eastAsia="Times New Roman" w:cs="Arial"/>
          <w:szCs w:val="24"/>
        </w:rPr>
        <w:t>eporting requirement without complying with the APA</w:t>
      </w:r>
      <w:r w:rsidR="00B6597F" w:rsidRPr="00EA509E">
        <w:rPr>
          <w:rFonts w:eastAsia="Times New Roman" w:cs="Arial"/>
          <w:szCs w:val="24"/>
        </w:rPr>
        <w:t xml:space="preserve">. To add insult to injury, the word “serious” was removed </w:t>
      </w:r>
      <w:r w:rsidR="00DF0CDB" w:rsidRPr="00EA509E">
        <w:rPr>
          <w:rFonts w:eastAsia="Times New Roman" w:cs="Arial"/>
          <w:szCs w:val="24"/>
          <w:u w:val="single"/>
        </w:rPr>
        <w:t xml:space="preserve">after it </w:t>
      </w:r>
      <w:r w:rsidR="00B6597F" w:rsidRPr="00EA509E">
        <w:rPr>
          <w:rFonts w:eastAsia="Times New Roman" w:cs="Arial"/>
          <w:szCs w:val="24"/>
          <w:u w:val="single"/>
        </w:rPr>
        <w:t xml:space="preserve">was </w:t>
      </w:r>
      <w:r w:rsidR="00DF0CDB" w:rsidRPr="00EA509E">
        <w:rPr>
          <w:rFonts w:eastAsia="Times New Roman" w:cs="Arial"/>
          <w:szCs w:val="24"/>
          <w:u w:val="single"/>
        </w:rPr>
        <w:t>deliberately inserted following proper notice and comment rulemaking</w:t>
      </w:r>
      <w:r w:rsidR="00B6597F" w:rsidRPr="00EA509E">
        <w:rPr>
          <w:rFonts w:eastAsia="Times New Roman" w:cs="Arial"/>
          <w:szCs w:val="24"/>
          <w:u w:val="single"/>
        </w:rPr>
        <w:t xml:space="preserve"> procedures</w:t>
      </w:r>
      <w:r w:rsidR="00DF0CDB" w:rsidRPr="00EA509E">
        <w:rPr>
          <w:rFonts w:eastAsia="Times New Roman" w:cs="Arial"/>
          <w:szCs w:val="24"/>
        </w:rPr>
        <w:t>.</w:t>
      </w:r>
    </w:p>
    <w:p w:rsidR="006428D8" w:rsidRPr="00EA509E" w:rsidRDefault="006428D8" w:rsidP="006428D8">
      <w:pPr>
        <w:pStyle w:val="NoSpacing"/>
        <w:jc w:val="both"/>
        <w:rPr>
          <w:rFonts w:eastAsia="Times New Roman" w:cs="Arial"/>
          <w:szCs w:val="24"/>
        </w:rPr>
      </w:pPr>
    </w:p>
    <w:p w:rsidR="006428D8" w:rsidRPr="00EA509E" w:rsidRDefault="006428D8" w:rsidP="006428D8">
      <w:pPr>
        <w:pStyle w:val="NoSpacing"/>
        <w:jc w:val="both"/>
        <w:rPr>
          <w:rFonts w:eastAsia="Times New Roman" w:cs="Arial"/>
          <w:szCs w:val="24"/>
        </w:rPr>
      </w:pPr>
      <w:r w:rsidRPr="00EA509E">
        <w:rPr>
          <w:rFonts w:eastAsia="Times New Roman" w:cs="Arial"/>
          <w:szCs w:val="24"/>
        </w:rPr>
        <w:t xml:space="preserve">Courts have ruled that an agency’s failure to comply with the APA results in invalidation and likely </w:t>
      </w:r>
      <w:proofErr w:type="spellStart"/>
      <w:r w:rsidRPr="00EA509E">
        <w:rPr>
          <w:rFonts w:eastAsia="Times New Roman" w:cs="Arial"/>
          <w:szCs w:val="24"/>
        </w:rPr>
        <w:t>vacature</w:t>
      </w:r>
      <w:proofErr w:type="spellEnd"/>
      <w:r w:rsidRPr="00EA509E">
        <w:rPr>
          <w:rFonts w:eastAsia="Times New Roman" w:cs="Arial"/>
          <w:szCs w:val="24"/>
        </w:rPr>
        <w:t xml:space="preserve"> of the rul</w:t>
      </w:r>
      <w:r w:rsidR="00DF0CDB" w:rsidRPr="00EA509E">
        <w:rPr>
          <w:rFonts w:eastAsia="Times New Roman" w:cs="Arial"/>
          <w:szCs w:val="24"/>
        </w:rPr>
        <w:t>e.</w:t>
      </w:r>
      <w:r w:rsidR="007A30CF" w:rsidRPr="00EA509E">
        <w:rPr>
          <w:rStyle w:val="FootnoteReference"/>
          <w:rFonts w:eastAsia="Times New Roman" w:cs="Arial"/>
          <w:szCs w:val="24"/>
        </w:rPr>
        <w:footnoteReference w:id="8"/>
      </w:r>
      <w:r w:rsidR="00DF0CDB" w:rsidRPr="00EA509E">
        <w:rPr>
          <w:rFonts w:eastAsia="Times New Roman" w:cs="Arial"/>
          <w:szCs w:val="24"/>
        </w:rPr>
        <w:t xml:space="preserve"> </w:t>
      </w:r>
      <w:r w:rsidRPr="00EA509E">
        <w:rPr>
          <w:rFonts w:eastAsia="Times New Roman" w:cs="Arial"/>
          <w:szCs w:val="24"/>
        </w:rPr>
        <w:t>As such, any action taken by the FAA to enforce the new data reporting require</w:t>
      </w:r>
      <w:bookmarkStart w:id="0" w:name="_GoBack"/>
      <w:bookmarkEnd w:id="0"/>
      <w:r w:rsidRPr="00EA509E">
        <w:rPr>
          <w:rFonts w:eastAsia="Times New Roman" w:cs="Arial"/>
          <w:szCs w:val="24"/>
        </w:rPr>
        <w:t>ment is i</w:t>
      </w:r>
      <w:r w:rsidR="00DF0CDB" w:rsidRPr="00EA509E">
        <w:rPr>
          <w:rFonts w:eastAsia="Times New Roman" w:cs="Arial"/>
          <w:szCs w:val="24"/>
        </w:rPr>
        <w:t>nvalid and cannot be enforced.</w:t>
      </w:r>
    </w:p>
    <w:p w:rsidR="005A7D82" w:rsidRPr="00EA509E" w:rsidRDefault="005A7D82" w:rsidP="006428D8">
      <w:pPr>
        <w:pStyle w:val="NoSpacing"/>
        <w:jc w:val="both"/>
        <w:rPr>
          <w:rFonts w:eastAsia="Times New Roman" w:cs="Arial"/>
          <w:szCs w:val="24"/>
        </w:rPr>
      </w:pPr>
    </w:p>
    <w:p w:rsidR="00784944" w:rsidRPr="00EA509E" w:rsidRDefault="005A7D82" w:rsidP="006428D8">
      <w:pPr>
        <w:pStyle w:val="NoSpacing"/>
        <w:jc w:val="both"/>
        <w:rPr>
          <w:rFonts w:cs="Arial"/>
          <w:szCs w:val="24"/>
        </w:rPr>
      </w:pPr>
      <w:r w:rsidRPr="00EA509E">
        <w:rPr>
          <w:rFonts w:eastAsia="Times New Roman" w:cs="Arial"/>
          <w:szCs w:val="24"/>
        </w:rPr>
        <w:t xml:space="preserve">Furthermore, as established by comments to the rulemaking dockets, </w:t>
      </w:r>
      <w:r w:rsidR="0077618A">
        <w:rPr>
          <w:rFonts w:eastAsia="Times New Roman" w:cs="Arial"/>
          <w:szCs w:val="24"/>
        </w:rPr>
        <w:t>reports of</w:t>
      </w:r>
      <w:r w:rsidRPr="00EA509E">
        <w:rPr>
          <w:rFonts w:eastAsia="Times New Roman" w:cs="Arial"/>
          <w:szCs w:val="24"/>
        </w:rPr>
        <w:t xml:space="preserve"> all failures, malfunctions and defects </w:t>
      </w:r>
      <w:r w:rsidR="0077618A">
        <w:rPr>
          <w:rFonts w:eastAsia="Times New Roman" w:cs="Arial"/>
          <w:szCs w:val="24"/>
        </w:rPr>
        <w:t>are</w:t>
      </w:r>
      <w:r w:rsidRPr="00EA509E">
        <w:rPr>
          <w:rFonts w:eastAsia="Times New Roman" w:cs="Arial"/>
          <w:szCs w:val="24"/>
        </w:rPr>
        <w:t xml:space="preserve"> not only impossible to compile but </w:t>
      </w:r>
      <w:r w:rsidR="0077618A">
        <w:rPr>
          <w:rFonts w:eastAsia="Times New Roman" w:cs="Arial"/>
          <w:szCs w:val="24"/>
        </w:rPr>
        <w:t>their</w:t>
      </w:r>
      <w:r w:rsidRPr="00EA509E">
        <w:rPr>
          <w:rFonts w:eastAsia="Times New Roman" w:cs="Arial"/>
          <w:szCs w:val="24"/>
        </w:rPr>
        <w:t xml:space="preserve"> collection does not improve </w:t>
      </w:r>
      <w:r w:rsidR="00A65979" w:rsidRPr="00EA509E">
        <w:rPr>
          <w:rFonts w:eastAsia="Times New Roman" w:cs="Arial"/>
          <w:szCs w:val="24"/>
        </w:rPr>
        <w:t xml:space="preserve">aviation </w:t>
      </w:r>
      <w:r w:rsidRPr="00EA509E">
        <w:rPr>
          <w:rFonts w:eastAsia="Times New Roman" w:cs="Arial"/>
          <w:szCs w:val="24"/>
        </w:rPr>
        <w:t>safety.</w:t>
      </w:r>
      <w:r w:rsidR="007A30CF" w:rsidRPr="00EA509E">
        <w:rPr>
          <w:rStyle w:val="FootnoteReference"/>
          <w:rFonts w:eastAsia="Times New Roman" w:cs="Arial"/>
          <w:szCs w:val="24"/>
        </w:rPr>
        <w:footnoteReference w:id="9"/>
      </w:r>
      <w:r w:rsidRPr="00EA509E">
        <w:rPr>
          <w:rFonts w:eastAsia="Times New Roman" w:cs="Arial"/>
          <w:szCs w:val="24"/>
        </w:rPr>
        <w:t xml:space="preserve"> Even if we hired extra personnel to </w:t>
      </w:r>
      <w:r w:rsidR="007A30CF" w:rsidRPr="00EA509E">
        <w:rPr>
          <w:rFonts w:eastAsia="Times New Roman" w:cs="Arial"/>
          <w:szCs w:val="24"/>
        </w:rPr>
        <w:t>report any failure, malfunction or defect on</w:t>
      </w:r>
      <w:r w:rsidRPr="00EA509E">
        <w:rPr>
          <w:rFonts w:eastAsia="Times New Roman" w:cs="Arial"/>
          <w:szCs w:val="24"/>
        </w:rPr>
        <w:t xml:space="preserve"> every unit received</w:t>
      </w:r>
      <w:r w:rsidR="00AE3B69">
        <w:rPr>
          <w:rFonts w:eastAsia="Times New Roman" w:cs="Arial"/>
          <w:szCs w:val="24"/>
        </w:rPr>
        <w:t>,</w:t>
      </w:r>
      <w:r w:rsidRPr="00EA509E">
        <w:rPr>
          <w:rFonts w:eastAsia="Times New Roman" w:cs="Arial"/>
          <w:szCs w:val="24"/>
        </w:rPr>
        <w:t xml:space="preserve"> </w:t>
      </w:r>
      <w:r w:rsidR="00784944" w:rsidRPr="00EA509E">
        <w:rPr>
          <w:rFonts w:eastAsia="Times New Roman" w:cs="Arial"/>
          <w:szCs w:val="24"/>
        </w:rPr>
        <w:t>a</w:t>
      </w:r>
      <w:r w:rsidRPr="00EA509E">
        <w:rPr>
          <w:rFonts w:eastAsia="Times New Roman" w:cs="Arial"/>
          <w:szCs w:val="24"/>
        </w:rPr>
        <w:t>s well as every piece part within those articles that required replacement or repair,</w:t>
      </w:r>
      <w:r w:rsidR="00A65979" w:rsidRPr="00EA509E">
        <w:rPr>
          <w:rFonts w:eastAsia="Times New Roman" w:cs="Arial"/>
          <w:szCs w:val="24"/>
        </w:rPr>
        <w:t xml:space="preserve"> it is impossible to provide </w:t>
      </w:r>
      <w:r w:rsidRPr="00EA509E">
        <w:rPr>
          <w:rFonts w:eastAsia="Times New Roman" w:cs="Arial"/>
          <w:szCs w:val="24"/>
        </w:rPr>
        <w:t xml:space="preserve">“all” </w:t>
      </w:r>
      <w:r w:rsidR="00A65979" w:rsidRPr="00EA509E">
        <w:rPr>
          <w:rFonts w:eastAsia="Times New Roman" w:cs="Arial"/>
          <w:szCs w:val="24"/>
        </w:rPr>
        <w:t xml:space="preserve">of the </w:t>
      </w:r>
      <w:r w:rsidRPr="00EA509E">
        <w:rPr>
          <w:rFonts w:eastAsia="Times New Roman" w:cs="Arial"/>
          <w:szCs w:val="24"/>
        </w:rPr>
        <w:t xml:space="preserve">information. The data required by </w:t>
      </w:r>
      <w:r w:rsidR="00784944" w:rsidRPr="00EA509E">
        <w:rPr>
          <w:rFonts w:eastAsia="Times New Roman" w:cs="Arial"/>
          <w:szCs w:val="24"/>
        </w:rPr>
        <w:t xml:space="preserve">14 CFR </w:t>
      </w:r>
      <w:hyperlink r:id="rId12" w:history="1">
        <w:r w:rsidR="00784944" w:rsidRPr="00EA509E">
          <w:rPr>
            <w:rStyle w:val="Hyperlink"/>
            <w:rFonts w:cs="Arial"/>
            <w:szCs w:val="24"/>
          </w:rPr>
          <w:t>§ 145.221(b)</w:t>
        </w:r>
      </w:hyperlink>
      <w:r w:rsidR="00784944" w:rsidRPr="00EA509E">
        <w:rPr>
          <w:rFonts w:cs="Arial"/>
          <w:szCs w:val="24"/>
        </w:rPr>
        <w:t xml:space="preserve"> is often </w:t>
      </w:r>
      <w:r w:rsidR="00B6597F" w:rsidRPr="00EA509E">
        <w:rPr>
          <w:rFonts w:cs="Arial"/>
          <w:szCs w:val="24"/>
        </w:rPr>
        <w:t xml:space="preserve">not </w:t>
      </w:r>
      <w:r w:rsidR="00784944" w:rsidRPr="00EA509E">
        <w:rPr>
          <w:rFonts w:cs="Arial"/>
          <w:szCs w:val="24"/>
        </w:rPr>
        <w:t>available to the repair station for the units received, let alone for every piece part.</w:t>
      </w:r>
    </w:p>
    <w:p w:rsidR="00784944" w:rsidRPr="00EA509E" w:rsidRDefault="00784944" w:rsidP="006428D8">
      <w:pPr>
        <w:pStyle w:val="NoSpacing"/>
        <w:jc w:val="both"/>
        <w:rPr>
          <w:rFonts w:cs="Arial"/>
          <w:szCs w:val="24"/>
        </w:rPr>
      </w:pPr>
    </w:p>
    <w:p w:rsidR="006428D8" w:rsidRPr="00EA509E" w:rsidRDefault="00784944" w:rsidP="006428D8">
      <w:pPr>
        <w:pStyle w:val="NoSpacing"/>
        <w:jc w:val="both"/>
        <w:rPr>
          <w:rFonts w:cs="Arial"/>
          <w:szCs w:val="24"/>
        </w:rPr>
      </w:pPr>
      <w:r w:rsidRPr="00EA509E">
        <w:rPr>
          <w:rFonts w:cs="Arial"/>
          <w:szCs w:val="24"/>
        </w:rPr>
        <w:t xml:space="preserve">Finally, when corrective actions are clearly set forth in the data required by 14 CFR </w:t>
      </w:r>
      <w:r w:rsidR="003237ED">
        <w:rPr>
          <w:rFonts w:cs="Arial"/>
          <w:szCs w:val="24"/>
        </w:rPr>
        <w:br/>
      </w:r>
      <w:hyperlink r:id="rId13" w:history="1">
        <w:r w:rsidRPr="00EA509E">
          <w:rPr>
            <w:rStyle w:val="Hyperlink"/>
            <w:rFonts w:cs="Arial"/>
            <w:szCs w:val="24"/>
          </w:rPr>
          <w:t>§ 145.109</w:t>
        </w:r>
      </w:hyperlink>
      <w:r w:rsidRPr="00EA509E">
        <w:rPr>
          <w:rFonts w:cs="Arial"/>
          <w:szCs w:val="24"/>
        </w:rPr>
        <w:t xml:space="preserve"> or provided by the air carrier under 14 CFR </w:t>
      </w:r>
      <w:hyperlink r:id="rId14" w:history="1">
        <w:r w:rsidRPr="00EA509E">
          <w:rPr>
            <w:rStyle w:val="Hyperlink"/>
            <w:rFonts w:cs="Arial"/>
            <w:szCs w:val="24"/>
          </w:rPr>
          <w:t>§ 145.205</w:t>
        </w:r>
      </w:hyperlink>
      <w:r w:rsidRPr="00EA509E">
        <w:rPr>
          <w:rFonts w:cs="Arial"/>
          <w:szCs w:val="24"/>
        </w:rPr>
        <w:t xml:space="preserve"> the flaw </w:t>
      </w:r>
      <w:r w:rsidR="00A65979" w:rsidRPr="00EA509E">
        <w:rPr>
          <w:rFonts w:cs="Arial"/>
          <w:szCs w:val="24"/>
        </w:rPr>
        <w:t xml:space="preserve">need </w:t>
      </w:r>
      <w:r w:rsidRPr="00EA509E">
        <w:rPr>
          <w:rFonts w:cs="Arial"/>
          <w:szCs w:val="24"/>
        </w:rPr>
        <w:t xml:space="preserve">not be reported at all. The reporting system needs to obtain “precursors” to safety issues, not </w:t>
      </w:r>
      <w:r w:rsidR="00092054">
        <w:rPr>
          <w:rFonts w:cs="Arial"/>
          <w:szCs w:val="24"/>
        </w:rPr>
        <w:t>act as</w:t>
      </w:r>
      <w:r w:rsidR="00092054" w:rsidRPr="00EA509E">
        <w:rPr>
          <w:rFonts w:cs="Arial"/>
          <w:szCs w:val="24"/>
        </w:rPr>
        <w:t xml:space="preserve"> </w:t>
      </w:r>
      <w:r w:rsidRPr="00EA509E">
        <w:rPr>
          <w:rFonts w:cs="Arial"/>
          <w:szCs w:val="24"/>
        </w:rPr>
        <w:t xml:space="preserve">a repository for flaws that can and are </w:t>
      </w:r>
      <w:r w:rsidR="00AE3B69" w:rsidRPr="00EA509E">
        <w:rPr>
          <w:rFonts w:cs="Arial"/>
          <w:szCs w:val="24"/>
        </w:rPr>
        <w:t xml:space="preserve">routinely </w:t>
      </w:r>
      <w:r w:rsidRPr="00EA509E">
        <w:rPr>
          <w:rFonts w:cs="Arial"/>
          <w:szCs w:val="24"/>
        </w:rPr>
        <w:t xml:space="preserve">corrected under the existing </w:t>
      </w:r>
      <w:r w:rsidR="007A30CF" w:rsidRPr="00EA509E">
        <w:rPr>
          <w:rFonts w:cs="Arial"/>
          <w:szCs w:val="24"/>
        </w:rPr>
        <w:t xml:space="preserve">safety </w:t>
      </w:r>
      <w:r w:rsidRPr="00EA509E">
        <w:rPr>
          <w:rFonts w:cs="Arial"/>
          <w:szCs w:val="24"/>
        </w:rPr>
        <w:t>requirements.</w:t>
      </w:r>
    </w:p>
    <w:p w:rsidR="00784944" w:rsidRPr="00EA509E" w:rsidRDefault="00784944" w:rsidP="006428D8">
      <w:pPr>
        <w:pStyle w:val="NoSpacing"/>
        <w:jc w:val="both"/>
        <w:rPr>
          <w:rFonts w:cs="Arial"/>
          <w:color w:val="000000"/>
          <w:szCs w:val="24"/>
          <w:shd w:val="clear" w:color="auto" w:fill="FFFFFF"/>
        </w:rPr>
      </w:pPr>
    </w:p>
    <w:p w:rsidR="00C7211E" w:rsidRPr="00EA509E" w:rsidRDefault="003C664F" w:rsidP="006428D8">
      <w:pPr>
        <w:widowControl/>
        <w:jc w:val="both"/>
        <w:rPr>
          <w:rFonts w:cs="Arial"/>
        </w:rPr>
      </w:pPr>
      <w:r w:rsidRPr="00EA509E">
        <w:rPr>
          <w:rFonts w:cs="Arial"/>
        </w:rPr>
        <w:t xml:space="preserve">For the above stated reasons, </w:t>
      </w:r>
      <w:r w:rsidR="00DF0CDB" w:rsidRPr="00EA509E">
        <w:rPr>
          <w:rFonts w:cs="Arial"/>
        </w:rPr>
        <w:t>the repair station</w:t>
      </w:r>
      <w:r w:rsidRPr="00EA509E">
        <w:rPr>
          <w:rFonts w:cs="Arial"/>
        </w:rPr>
        <w:t xml:space="preserve"> </w:t>
      </w:r>
      <w:r w:rsidR="00784944" w:rsidRPr="00EA509E">
        <w:rPr>
          <w:rFonts w:cs="Arial"/>
        </w:rPr>
        <w:t>respectfully requests this matter be discussed within the office management, region and national policy divisions as well as the agency’s legal department. If further action is deemed appropriate, we will respond accordingly</w:t>
      </w:r>
      <w:r w:rsidR="007A30CF" w:rsidRPr="00EA509E">
        <w:rPr>
          <w:rFonts w:cs="Arial"/>
        </w:rPr>
        <w:t>; otherwise, we look forward to the matter being closed</w:t>
      </w:r>
      <w:r w:rsidR="00784944" w:rsidRPr="00EA509E">
        <w:rPr>
          <w:rFonts w:cs="Arial"/>
        </w:rPr>
        <w:t>.</w:t>
      </w:r>
    </w:p>
    <w:p w:rsidR="006428D8" w:rsidRPr="00EA509E" w:rsidRDefault="006428D8" w:rsidP="006428D8">
      <w:pPr>
        <w:widowControl/>
        <w:jc w:val="both"/>
        <w:rPr>
          <w:rFonts w:cs="Arial"/>
        </w:rPr>
      </w:pPr>
    </w:p>
    <w:p w:rsidR="00412685" w:rsidRPr="00EA509E" w:rsidRDefault="00C7211E" w:rsidP="006428D8">
      <w:pPr>
        <w:widowControl/>
        <w:jc w:val="both"/>
        <w:rPr>
          <w:rFonts w:cs="Arial"/>
        </w:rPr>
      </w:pPr>
      <w:r w:rsidRPr="00EA509E">
        <w:rPr>
          <w:rFonts w:cs="Arial"/>
        </w:rPr>
        <w:t xml:space="preserve">We look forward to the </w:t>
      </w:r>
      <w:r w:rsidR="00A65979" w:rsidRPr="00EA509E">
        <w:rPr>
          <w:rFonts w:cs="Arial"/>
        </w:rPr>
        <w:t xml:space="preserve">prompt </w:t>
      </w:r>
      <w:r w:rsidRPr="00EA509E">
        <w:rPr>
          <w:rFonts w:cs="Arial"/>
        </w:rPr>
        <w:t>resolution of this matter. If you have any questions, do not hesitate to contact me.</w:t>
      </w:r>
    </w:p>
    <w:p w:rsidR="00412685" w:rsidRPr="00EA509E" w:rsidRDefault="00412685" w:rsidP="006428D8">
      <w:pPr>
        <w:widowControl/>
        <w:jc w:val="both"/>
        <w:rPr>
          <w:rFonts w:cs="Arial"/>
        </w:rPr>
      </w:pPr>
    </w:p>
    <w:p w:rsidR="009F538B" w:rsidRPr="00EA509E" w:rsidRDefault="009F538B" w:rsidP="006428D8">
      <w:pPr>
        <w:widowControl/>
        <w:jc w:val="both"/>
        <w:rPr>
          <w:rFonts w:cs="Arial"/>
        </w:rPr>
      </w:pPr>
      <w:r w:rsidRPr="00EA509E">
        <w:rPr>
          <w:rFonts w:cs="Arial"/>
        </w:rPr>
        <w:t>Sincerely,</w:t>
      </w:r>
    </w:p>
    <w:p w:rsidR="009F538B" w:rsidRPr="00EA509E" w:rsidRDefault="009F538B" w:rsidP="009F538B">
      <w:pPr>
        <w:widowControl/>
        <w:jc w:val="both"/>
        <w:rPr>
          <w:rFonts w:cs="Arial"/>
          <w:noProof/>
        </w:rPr>
      </w:pPr>
    </w:p>
    <w:p w:rsidR="009F538B" w:rsidRPr="00EA509E" w:rsidRDefault="009F538B" w:rsidP="009F538B">
      <w:pPr>
        <w:widowControl/>
        <w:jc w:val="both"/>
        <w:rPr>
          <w:rFonts w:cs="Arial"/>
          <w:noProof/>
        </w:rPr>
      </w:pPr>
    </w:p>
    <w:p w:rsidR="009F538B" w:rsidRPr="00EA509E" w:rsidRDefault="009F538B" w:rsidP="009F538B">
      <w:pPr>
        <w:widowControl/>
        <w:jc w:val="both"/>
        <w:rPr>
          <w:rFonts w:cs="Arial"/>
        </w:rPr>
      </w:pPr>
    </w:p>
    <w:p w:rsidR="009F538B" w:rsidRPr="00EA509E" w:rsidRDefault="009F538B" w:rsidP="009F538B">
      <w:pPr>
        <w:widowControl/>
        <w:jc w:val="both"/>
        <w:rPr>
          <w:rFonts w:cs="Arial"/>
          <w:highlight w:val="yellow"/>
        </w:rPr>
      </w:pPr>
      <w:r w:rsidRPr="00EA509E">
        <w:rPr>
          <w:rFonts w:cs="Arial"/>
          <w:highlight w:val="yellow"/>
        </w:rPr>
        <w:t>NAME</w:t>
      </w:r>
    </w:p>
    <w:p w:rsidR="009F538B" w:rsidRPr="00EA509E" w:rsidRDefault="009F538B" w:rsidP="009F538B">
      <w:pPr>
        <w:widowControl/>
        <w:jc w:val="both"/>
        <w:rPr>
          <w:rFonts w:cs="Arial"/>
          <w:highlight w:val="yellow"/>
        </w:rPr>
      </w:pPr>
      <w:r w:rsidRPr="00EA509E">
        <w:rPr>
          <w:rFonts w:cs="Arial"/>
          <w:highlight w:val="yellow"/>
        </w:rPr>
        <w:t>TITLE</w:t>
      </w:r>
    </w:p>
    <w:p w:rsidR="009F538B" w:rsidRPr="00EA509E" w:rsidRDefault="009F538B" w:rsidP="009F538B">
      <w:pPr>
        <w:widowControl/>
        <w:jc w:val="both"/>
        <w:rPr>
          <w:rFonts w:cs="Arial"/>
        </w:rPr>
      </w:pPr>
    </w:p>
    <w:tbl>
      <w:tblPr>
        <w:tblW w:w="9738" w:type="dxa"/>
        <w:tblLook w:val="04A0" w:firstRow="1" w:lastRow="0" w:firstColumn="1" w:lastColumn="0" w:noHBand="0" w:noVBand="1"/>
      </w:tblPr>
      <w:tblGrid>
        <w:gridCol w:w="738"/>
        <w:gridCol w:w="4500"/>
        <w:gridCol w:w="4500"/>
      </w:tblGrid>
      <w:tr w:rsidR="009F538B" w:rsidRPr="00790A4C" w:rsidTr="00784944">
        <w:trPr>
          <w:trHeight w:val="243"/>
        </w:trPr>
        <w:tc>
          <w:tcPr>
            <w:tcW w:w="738" w:type="dxa"/>
          </w:tcPr>
          <w:p w:rsidR="009F538B" w:rsidRPr="00EA509E" w:rsidRDefault="009F538B" w:rsidP="009F2DA7">
            <w:pPr>
              <w:widowControl/>
              <w:jc w:val="both"/>
              <w:rPr>
                <w:rFonts w:cs="Arial"/>
              </w:rPr>
            </w:pPr>
            <w:r w:rsidRPr="00EA509E">
              <w:rPr>
                <w:rFonts w:cs="Arial"/>
              </w:rPr>
              <w:t>cc:</w:t>
            </w:r>
          </w:p>
        </w:tc>
        <w:tc>
          <w:tcPr>
            <w:tcW w:w="4500" w:type="dxa"/>
          </w:tcPr>
          <w:p w:rsidR="009F538B" w:rsidRPr="00EA509E" w:rsidRDefault="00600F1D" w:rsidP="009F2DA7">
            <w:pPr>
              <w:widowControl/>
              <w:jc w:val="both"/>
              <w:rPr>
                <w:rFonts w:cs="Arial"/>
              </w:rPr>
            </w:pPr>
            <w:r w:rsidRPr="00EA509E">
              <w:rPr>
                <w:rFonts w:cs="Arial"/>
              </w:rPr>
              <w:t>Mark Bury, Assistant Chief Counsel</w:t>
            </w:r>
          </w:p>
          <w:p w:rsidR="00600F1D" w:rsidRPr="00EA509E" w:rsidRDefault="00600F1D" w:rsidP="009F2DA7">
            <w:pPr>
              <w:widowControl/>
              <w:jc w:val="both"/>
              <w:rPr>
                <w:rFonts w:cs="Arial"/>
              </w:rPr>
            </w:pPr>
          </w:p>
        </w:tc>
        <w:tc>
          <w:tcPr>
            <w:tcW w:w="4500" w:type="dxa"/>
          </w:tcPr>
          <w:p w:rsidR="009F538B" w:rsidRPr="00EA509E" w:rsidRDefault="00784944" w:rsidP="009F2DA7">
            <w:pPr>
              <w:widowControl/>
              <w:jc w:val="both"/>
              <w:rPr>
                <w:rFonts w:cs="Arial"/>
              </w:rPr>
            </w:pPr>
            <w:r w:rsidRPr="00EA509E">
              <w:rPr>
                <w:rFonts w:cs="Arial"/>
              </w:rPr>
              <w:t>mark.bury@faa.gov</w:t>
            </w:r>
          </w:p>
        </w:tc>
      </w:tr>
    </w:tbl>
    <w:p w:rsidR="008D1181" w:rsidRDefault="008D1181"/>
    <w:sectPr w:rsidR="008D1181" w:rsidSect="009F538B">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98" w:rsidRDefault="00E76598" w:rsidP="00E76598">
      <w:r>
        <w:separator/>
      </w:r>
    </w:p>
  </w:endnote>
  <w:endnote w:type="continuationSeparator" w:id="0">
    <w:p w:rsidR="00E76598" w:rsidRDefault="00E76598" w:rsidP="00E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98" w:rsidRDefault="00E76598" w:rsidP="00E76598">
      <w:r>
        <w:separator/>
      </w:r>
    </w:p>
  </w:footnote>
  <w:footnote w:type="continuationSeparator" w:id="0">
    <w:p w:rsidR="00E76598" w:rsidRDefault="00E76598" w:rsidP="00E76598">
      <w:r>
        <w:continuationSeparator/>
      </w:r>
    </w:p>
  </w:footnote>
  <w:footnote w:id="1">
    <w:p w:rsidR="00E76598" w:rsidRDefault="00E76598">
      <w:pPr>
        <w:pStyle w:val="FootnoteText"/>
      </w:pPr>
      <w:r>
        <w:rPr>
          <w:rStyle w:val="FootnoteReference"/>
        </w:rPr>
        <w:footnoteRef/>
      </w:r>
      <w:r>
        <w:t xml:space="preserve"> </w:t>
      </w:r>
      <w:hyperlink r:id="rId1" w:history="1">
        <w:r w:rsidR="000D4F98" w:rsidRPr="007D1831">
          <w:rPr>
            <w:rStyle w:val="Hyperlink"/>
          </w:rPr>
          <w:t xml:space="preserve">5 U.S.C. §§ 551 </w:t>
        </w:r>
        <w:r w:rsidR="000D4F98" w:rsidRPr="00B868BE">
          <w:rPr>
            <w:rStyle w:val="Hyperlink"/>
            <w:i/>
          </w:rPr>
          <w:t>et seq</w:t>
        </w:r>
        <w:r w:rsidR="000D4F98" w:rsidRPr="007D1831">
          <w:rPr>
            <w:rStyle w:val="Hyperlink"/>
          </w:rPr>
          <w:t>.</w:t>
        </w:r>
      </w:hyperlink>
    </w:p>
  </w:footnote>
  <w:footnote w:id="2">
    <w:p w:rsidR="007B3B26" w:rsidRPr="00C7211E" w:rsidRDefault="007B3B26">
      <w:pPr>
        <w:pStyle w:val="FootnoteText"/>
      </w:pPr>
      <w:r>
        <w:rPr>
          <w:rStyle w:val="FootnoteReference"/>
        </w:rPr>
        <w:footnoteRef/>
      </w:r>
      <w:r>
        <w:t xml:space="preserve"> </w:t>
      </w:r>
      <w:r>
        <w:rPr>
          <w:i/>
        </w:rPr>
        <w:t>See, e.g.</w:t>
      </w:r>
      <w:r w:rsidR="0015529E">
        <w:rPr>
          <w:i/>
        </w:rPr>
        <w:t>,</w:t>
      </w:r>
      <w:r w:rsidR="00C7211E" w:rsidRPr="00C7211E">
        <w:t xml:space="preserve"> </w:t>
      </w:r>
      <w:r w:rsidR="00C7211E" w:rsidRPr="00EA509E">
        <w:rPr>
          <w:i/>
        </w:rPr>
        <w:t xml:space="preserve">R &amp; W </w:t>
      </w:r>
      <w:proofErr w:type="spellStart"/>
      <w:r w:rsidR="00C7211E" w:rsidRPr="00EA509E">
        <w:rPr>
          <w:i/>
        </w:rPr>
        <w:t>Flammann</w:t>
      </w:r>
      <w:proofErr w:type="spellEnd"/>
      <w:r w:rsidR="00C7211E" w:rsidRPr="00EA509E">
        <w:rPr>
          <w:i/>
        </w:rPr>
        <w:t xml:space="preserve"> GmbH v. U.S.</w:t>
      </w:r>
      <w:r w:rsidR="00C7211E" w:rsidRPr="00C7211E">
        <w:t>, 339 F.3d 1320, 1324 (Fed. Cir. 2003) (“A regulation that contravenes a statute is invalid.”).</w:t>
      </w:r>
    </w:p>
  </w:footnote>
  <w:footnote w:id="3">
    <w:p w:rsidR="00930742" w:rsidRDefault="00930742">
      <w:pPr>
        <w:pStyle w:val="FootnoteText"/>
      </w:pPr>
      <w:r>
        <w:rPr>
          <w:rStyle w:val="FootnoteReference"/>
        </w:rPr>
        <w:footnoteRef/>
      </w:r>
      <w:r>
        <w:t xml:space="preserve"> </w:t>
      </w:r>
      <w:r w:rsidR="004A27DB">
        <w:t xml:space="preserve">Repair Stations, </w:t>
      </w:r>
      <w:hyperlink r:id="rId2" w:history="1">
        <w:r w:rsidRPr="000D4F98">
          <w:rPr>
            <w:rStyle w:val="Hyperlink"/>
          </w:rPr>
          <w:t xml:space="preserve">66 </w:t>
        </w:r>
        <w:r w:rsidR="0015529E" w:rsidRPr="000D4F98">
          <w:rPr>
            <w:rStyle w:val="Hyperlink"/>
          </w:rPr>
          <w:t xml:space="preserve">Fed. Reg. </w:t>
        </w:r>
        <w:r w:rsidRPr="000D4F98">
          <w:rPr>
            <w:rStyle w:val="Hyperlink"/>
          </w:rPr>
          <w:t>41088</w:t>
        </w:r>
      </w:hyperlink>
      <w:r>
        <w:t xml:space="preserve"> (August 6, 2001).</w:t>
      </w:r>
    </w:p>
  </w:footnote>
  <w:footnote w:id="4">
    <w:p w:rsidR="00930742" w:rsidRDefault="00930742" w:rsidP="00930742">
      <w:pPr>
        <w:pStyle w:val="FootnoteText"/>
      </w:pPr>
      <w:r>
        <w:rPr>
          <w:rStyle w:val="FootnoteReference"/>
        </w:rPr>
        <w:footnoteRef/>
      </w:r>
      <w:r>
        <w:t xml:space="preserve"> </w:t>
      </w:r>
      <w:r w:rsidR="004A27DB">
        <w:rPr>
          <w:rFonts w:cs="Arial"/>
        </w:rPr>
        <w:t>Repair Stations: Service Difficulty Reporting,</w:t>
      </w:r>
      <w:r w:rsidR="004A27DB">
        <w:t xml:space="preserve"> </w:t>
      </w:r>
      <w:hyperlink r:id="rId3" w:history="1">
        <w:r w:rsidRPr="000D4F98">
          <w:rPr>
            <w:rStyle w:val="Hyperlink"/>
          </w:rPr>
          <w:t>68</w:t>
        </w:r>
        <w:r w:rsidR="00DF0CDB" w:rsidRPr="000D4F98">
          <w:rPr>
            <w:rStyle w:val="Hyperlink"/>
          </w:rPr>
          <w:t xml:space="preserve"> </w:t>
        </w:r>
        <w:r w:rsidR="0015529E" w:rsidRPr="000D4F98">
          <w:rPr>
            <w:rStyle w:val="Hyperlink"/>
          </w:rPr>
          <w:t>Fed. Reg.</w:t>
        </w:r>
        <w:r w:rsidR="00DF0CDB" w:rsidRPr="000D4F98">
          <w:rPr>
            <w:rStyle w:val="Hyperlink"/>
          </w:rPr>
          <w:t xml:space="preserve"> 75380</w:t>
        </w:r>
      </w:hyperlink>
      <w:r w:rsidR="00DF0CDB">
        <w:t xml:space="preserve"> (December 30, 2003).</w:t>
      </w:r>
    </w:p>
  </w:footnote>
  <w:footnote w:id="5">
    <w:p w:rsidR="00760485" w:rsidRDefault="00760485">
      <w:pPr>
        <w:pStyle w:val="FootnoteText"/>
      </w:pPr>
      <w:r>
        <w:rPr>
          <w:rStyle w:val="FootnoteReference"/>
        </w:rPr>
        <w:footnoteRef/>
      </w:r>
      <w:r>
        <w:t xml:space="preserve"> </w:t>
      </w:r>
      <w:r w:rsidR="004A27DB">
        <w:t xml:space="preserve">Repair Stations, </w:t>
      </w:r>
      <w:hyperlink r:id="rId4" w:history="1">
        <w:r w:rsidRPr="008944E5">
          <w:rPr>
            <w:rStyle w:val="Hyperlink"/>
          </w:rPr>
          <w:t xml:space="preserve">79 </w:t>
        </w:r>
        <w:r w:rsidR="0015529E" w:rsidRPr="008944E5">
          <w:rPr>
            <w:rStyle w:val="Hyperlink"/>
          </w:rPr>
          <w:t>Fed. Reg.</w:t>
        </w:r>
        <w:r w:rsidRPr="008944E5">
          <w:rPr>
            <w:rStyle w:val="Hyperlink"/>
          </w:rPr>
          <w:t xml:space="preserve"> 46971</w:t>
        </w:r>
      </w:hyperlink>
      <w:r>
        <w:t xml:space="preserve"> (August 12, 2014).</w:t>
      </w:r>
    </w:p>
  </w:footnote>
  <w:footnote w:id="6">
    <w:p w:rsidR="007A30CF" w:rsidRDefault="007A30CF">
      <w:pPr>
        <w:pStyle w:val="FootnoteText"/>
      </w:pPr>
      <w:r>
        <w:rPr>
          <w:rStyle w:val="FootnoteReference"/>
        </w:rPr>
        <w:footnoteRef/>
      </w:r>
      <w:r>
        <w:t xml:space="preserve"> </w:t>
      </w:r>
      <w:r w:rsidRPr="00EA509E">
        <w:rPr>
          <w:rFonts w:cs="Arial"/>
          <w:i/>
        </w:rPr>
        <w:t>See</w:t>
      </w:r>
      <w:r w:rsidRPr="00EA509E">
        <w:rPr>
          <w:rFonts w:cs="Arial"/>
        </w:rPr>
        <w:t xml:space="preserve"> </w:t>
      </w:r>
      <w:hyperlink r:id="rId5" w:history="1">
        <w:r w:rsidRPr="00EA509E">
          <w:rPr>
            <w:rStyle w:val="Hyperlink"/>
            <w:rFonts w:cs="Arial"/>
          </w:rPr>
          <w:t>5 U.S.C. § 553(b)</w:t>
        </w:r>
      </w:hyperlink>
      <w:r w:rsidRPr="00EA509E">
        <w:rPr>
          <w:rFonts w:cs="Arial"/>
        </w:rPr>
        <w:t xml:space="preserve">; </w:t>
      </w:r>
      <w:r w:rsidRPr="00EA509E">
        <w:rPr>
          <w:rFonts w:cs="Arial"/>
          <w:i/>
        </w:rPr>
        <w:t>State of Alaska v. U.S. Dep't of Transp.</w:t>
      </w:r>
      <w:r w:rsidRPr="00EA509E">
        <w:rPr>
          <w:rFonts w:cs="Arial"/>
        </w:rPr>
        <w:t>, 868 F.2d 441, 445 (D.C. Cir. 1989).</w:t>
      </w:r>
    </w:p>
  </w:footnote>
  <w:footnote w:id="7">
    <w:p w:rsidR="007A30CF" w:rsidRDefault="007A30CF" w:rsidP="003237ED">
      <w:pPr>
        <w:pStyle w:val="FootnoteText"/>
        <w:jc w:val="both"/>
      </w:pPr>
      <w:r>
        <w:rPr>
          <w:rStyle w:val="FootnoteReference"/>
        </w:rPr>
        <w:footnoteRef/>
      </w:r>
      <w:r>
        <w:t xml:space="preserve"> </w:t>
      </w:r>
      <w:r w:rsidRPr="00EA509E">
        <w:rPr>
          <w:rFonts w:cs="Arial"/>
          <w:i/>
        </w:rPr>
        <w:t>See</w:t>
      </w:r>
      <w:r w:rsidRPr="00EA509E">
        <w:rPr>
          <w:rFonts w:cs="Arial"/>
        </w:rPr>
        <w:t xml:space="preserve"> </w:t>
      </w:r>
      <w:r w:rsidRPr="00EA509E">
        <w:rPr>
          <w:rFonts w:cs="Arial"/>
          <w:i/>
        </w:rPr>
        <w:t>Util. Solid Waste Activities Grp. v. E.P.A.</w:t>
      </w:r>
      <w:r w:rsidRPr="00EA509E">
        <w:rPr>
          <w:rFonts w:cs="Arial"/>
        </w:rPr>
        <w:t xml:space="preserve">, 236 F.3d 749, 752 (D.C. Cir. 2001) (rejecting EPA’s ability to make technical corrections to a rule that were the </w:t>
      </w:r>
      <w:r w:rsidR="003237ED">
        <w:rPr>
          <w:rFonts w:cs="Arial"/>
        </w:rPr>
        <w:t xml:space="preserve">result </w:t>
      </w:r>
      <w:r w:rsidRPr="00EA509E">
        <w:rPr>
          <w:rFonts w:cs="Arial"/>
        </w:rPr>
        <w:t>of word processing errors without submitting those changes for notice and comment).</w:t>
      </w:r>
    </w:p>
  </w:footnote>
  <w:footnote w:id="8">
    <w:p w:rsidR="007A30CF" w:rsidRPr="007A30CF" w:rsidRDefault="007A30CF" w:rsidP="003237ED">
      <w:pPr>
        <w:pStyle w:val="FootnoteText"/>
        <w:jc w:val="both"/>
      </w:pPr>
      <w:r>
        <w:rPr>
          <w:rStyle w:val="FootnoteReference"/>
        </w:rPr>
        <w:footnoteRef/>
      </w:r>
      <w:r>
        <w:t xml:space="preserve"> </w:t>
      </w:r>
      <w:r w:rsidRPr="00EA509E">
        <w:rPr>
          <w:rFonts w:cs="Arial"/>
          <w:i/>
        </w:rPr>
        <w:t>See</w:t>
      </w:r>
      <w:r w:rsidRPr="00EA509E">
        <w:rPr>
          <w:rFonts w:cs="Arial"/>
        </w:rPr>
        <w:t xml:space="preserve">, </w:t>
      </w:r>
      <w:r w:rsidRPr="00EA509E">
        <w:rPr>
          <w:rFonts w:cs="Arial"/>
          <w:i/>
        </w:rPr>
        <w:t>e.g.</w:t>
      </w:r>
      <w:r w:rsidRPr="006B3D62">
        <w:rPr>
          <w:rFonts w:cs="Arial"/>
        </w:rPr>
        <w:t>,</w:t>
      </w:r>
      <w:r w:rsidRPr="00EA509E">
        <w:rPr>
          <w:rFonts w:cs="Arial"/>
          <w:i/>
        </w:rPr>
        <w:t xml:space="preserve"> State of Alaska U.S. Dep't of Transp.</w:t>
      </w:r>
      <w:r w:rsidRPr="00EA509E">
        <w:rPr>
          <w:rFonts w:cs="Arial"/>
        </w:rPr>
        <w:t xml:space="preserve">, 868 F.2d 441, 445 (D.C. Cir. 1989) (invalidating Department of Transportation orders concerning advertising by airlines for failure to comply with the APA’s notice and comment requirements); </w:t>
      </w:r>
      <w:r w:rsidRPr="00EA509E">
        <w:rPr>
          <w:rFonts w:cs="Arial"/>
          <w:i/>
          <w:color w:val="000000"/>
          <w:shd w:val="clear" w:color="auto" w:fill="FFFFFF"/>
        </w:rPr>
        <w:t>Shell Oil Company v. Environmental Protection Agency</w:t>
      </w:r>
      <w:r w:rsidRPr="00EA509E">
        <w:rPr>
          <w:rFonts w:cs="Arial"/>
          <w:color w:val="000000"/>
          <w:shd w:val="clear" w:color="auto" w:fill="FFFFFF"/>
        </w:rPr>
        <w:t xml:space="preserve">, 950 F.2d 741, 752 (D.C.Cir.1991) (invalidating EPA rules for classifying hazardous substances for notice and comment violations). Moreover, any agency action taken under an invalid rule has no legal effect. </w:t>
      </w:r>
      <w:r w:rsidRPr="00EA509E">
        <w:rPr>
          <w:rFonts w:cs="Arial"/>
          <w:i/>
        </w:rPr>
        <w:t>W.C. v. Bowen</w:t>
      </w:r>
      <w:r w:rsidRPr="00EA509E">
        <w:rPr>
          <w:rFonts w:cs="Arial"/>
        </w:rPr>
        <w:t>, 807 F. 2d 1502, 1505 (9th Cir. 1987) (“An agency rule which violates the APA is void.</w:t>
      </w:r>
      <w:r w:rsidRPr="00EA509E">
        <w:rPr>
          <w:rStyle w:val="apple-converted-space"/>
          <w:rFonts w:cs="Arial"/>
        </w:rPr>
        <w:t> </w:t>
      </w:r>
      <w:r w:rsidRPr="00EA509E">
        <w:rPr>
          <w:rFonts w:cs="Arial"/>
        </w:rPr>
        <w:t>Agency action taken under a void rule has no legal effect”) (citations omitted).</w:t>
      </w:r>
    </w:p>
  </w:footnote>
  <w:footnote w:id="9">
    <w:p w:rsidR="007A30CF" w:rsidRPr="007A30CF" w:rsidRDefault="007A30CF">
      <w:pPr>
        <w:pStyle w:val="FootnoteText"/>
      </w:pPr>
      <w:r w:rsidRPr="005C212F">
        <w:rPr>
          <w:rStyle w:val="FootnoteReference"/>
        </w:rPr>
        <w:footnoteRef/>
      </w:r>
      <w:r w:rsidRPr="005C212F">
        <w:t xml:space="preserve"> </w:t>
      </w:r>
      <w:r w:rsidRPr="005C212F">
        <w:rPr>
          <w:rFonts w:cs="Arial"/>
          <w:i/>
        </w:rPr>
        <w:t>See</w:t>
      </w:r>
      <w:r w:rsidR="00340F18">
        <w:rPr>
          <w:rFonts w:cs="Arial"/>
          <w:i/>
        </w:rPr>
        <w:t xml:space="preserve"> </w:t>
      </w:r>
      <w:r w:rsidR="00340F18">
        <w:rPr>
          <w:rFonts w:cs="Arial"/>
        </w:rPr>
        <w:t xml:space="preserve">Repair Stations: Service Difficulty Reporting Rulemaking, </w:t>
      </w:r>
      <w:hyperlink r:id="rId6" w:history="1">
        <w:r w:rsidR="005C212F" w:rsidRPr="000D4F98">
          <w:rPr>
            <w:rStyle w:val="Hyperlink"/>
          </w:rPr>
          <w:t>68 Fed. Reg. 75380</w:t>
        </w:r>
      </w:hyperlink>
      <w:r w:rsidR="005C212F">
        <w:t xml:space="preserve"> (</w:t>
      </w:r>
      <w:r w:rsidR="005C212F" w:rsidRPr="005C212F">
        <w:t xml:space="preserve">December 30, 2003); </w:t>
      </w:r>
      <w:hyperlink r:id="rId7" w:history="1">
        <w:r w:rsidR="005C212F" w:rsidRPr="005C212F">
          <w:rPr>
            <w:rStyle w:val="Hyperlink"/>
          </w:rPr>
          <w:t xml:space="preserve">Aeronautical Repair Station Association, Petition for Rulemaking on 14 CFR § 145.221, Docket No. </w:t>
        </w:r>
        <w:r w:rsidR="005C212F" w:rsidRPr="005C212F">
          <w:rPr>
            <w:rStyle w:val="Hyperlink"/>
            <w:rFonts w:ascii="Helvetica" w:hAnsi="Helvetica" w:cs="Helvetica"/>
            <w:shd w:val="clear" w:color="auto" w:fill="FFFFFF"/>
          </w:rPr>
          <w:t>FAA-2014-0767</w:t>
        </w:r>
      </w:hyperlink>
      <w:r w:rsidR="005C212F">
        <w:t xml:space="preserve"> (September 22</w:t>
      </w:r>
      <w:r w:rsidR="001C259C">
        <w:t>, 2014</w:t>
      </w:r>
      <w:r w:rsidR="005C212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38" w:type="dxa"/>
      <w:tblLook w:val="04A0" w:firstRow="1" w:lastRow="0" w:firstColumn="1" w:lastColumn="0" w:noHBand="0" w:noVBand="1"/>
    </w:tblPr>
    <w:tblGrid>
      <w:gridCol w:w="648"/>
      <w:gridCol w:w="9090"/>
    </w:tblGrid>
    <w:tr w:rsidR="00790A4C" w:rsidRPr="00554F6E" w:rsidTr="00296BF9">
      <w:tc>
        <w:tcPr>
          <w:tcW w:w="9738" w:type="dxa"/>
          <w:gridSpan w:val="2"/>
        </w:tcPr>
        <w:p w:rsidR="00790A4C" w:rsidRPr="00554F6E" w:rsidRDefault="00790A4C" w:rsidP="00D80355">
          <w:r w:rsidRPr="00D64B8B">
            <w:rPr>
              <w:rFonts w:cs="Arial"/>
              <w:highlight w:val="yellow"/>
            </w:rPr>
            <w:t>NAME</w:t>
          </w:r>
        </w:p>
      </w:tc>
    </w:tr>
    <w:tr w:rsidR="00C34BFA" w:rsidRPr="00790A4C" w:rsidTr="001C26FA">
      <w:tc>
        <w:tcPr>
          <w:tcW w:w="9738" w:type="dxa"/>
          <w:gridSpan w:val="2"/>
        </w:tcPr>
        <w:p w:rsidR="00C34BFA" w:rsidRPr="00790A4C" w:rsidRDefault="00790A4C" w:rsidP="009A536B">
          <w:r w:rsidRPr="00790A4C">
            <w:t xml:space="preserve">Page </w:t>
          </w:r>
          <w:r w:rsidRPr="00EA509E">
            <w:fldChar w:fldCharType="begin"/>
          </w:r>
          <w:r w:rsidRPr="00EA509E">
            <w:instrText xml:space="preserve"> PAGE  \* Arabic  \* MERGEFORMAT </w:instrText>
          </w:r>
          <w:r w:rsidRPr="00EA509E">
            <w:fldChar w:fldCharType="separate"/>
          </w:r>
          <w:r w:rsidR="0077618A">
            <w:rPr>
              <w:noProof/>
            </w:rPr>
            <w:t>2</w:t>
          </w:r>
          <w:r w:rsidRPr="00EA509E">
            <w:fldChar w:fldCharType="end"/>
          </w:r>
          <w:r w:rsidRPr="00790A4C">
            <w:t xml:space="preserve"> of </w:t>
          </w:r>
          <w:r w:rsidR="00B31900">
            <w:fldChar w:fldCharType="begin"/>
          </w:r>
          <w:r w:rsidR="00B31900">
            <w:instrText xml:space="preserve"> NUMPAGES  \* Arabic  \* MERGEFORMAT </w:instrText>
          </w:r>
          <w:r w:rsidR="00B31900">
            <w:fldChar w:fldCharType="separate"/>
          </w:r>
          <w:r w:rsidR="0077618A">
            <w:rPr>
              <w:noProof/>
            </w:rPr>
            <w:t>3</w:t>
          </w:r>
          <w:r w:rsidR="00B31900">
            <w:rPr>
              <w:noProof/>
            </w:rPr>
            <w:fldChar w:fldCharType="end"/>
          </w:r>
        </w:p>
      </w:tc>
    </w:tr>
    <w:tr w:rsidR="00C34BFA" w:rsidRPr="00E56939" w:rsidTr="00085432">
      <w:tc>
        <w:tcPr>
          <w:tcW w:w="9738" w:type="dxa"/>
          <w:gridSpan w:val="2"/>
        </w:tcPr>
        <w:p w:rsidR="00C34BFA" w:rsidRPr="00E56939" w:rsidRDefault="00B31900" w:rsidP="00D80355">
          <w:pPr>
            <w:rPr>
              <w:sz w:val="8"/>
              <w:szCs w:val="8"/>
            </w:rPr>
          </w:pPr>
        </w:p>
      </w:tc>
    </w:tr>
    <w:tr w:rsidR="00C34BFA" w:rsidRPr="00554F6E" w:rsidTr="0047358A">
      <w:tc>
        <w:tcPr>
          <w:tcW w:w="648" w:type="dxa"/>
        </w:tcPr>
        <w:p w:rsidR="00C34BFA" w:rsidRPr="00554F6E" w:rsidRDefault="00790A4C" w:rsidP="00D80355">
          <w:r>
            <w:t>RE:</w:t>
          </w:r>
        </w:p>
      </w:tc>
      <w:tc>
        <w:tcPr>
          <w:tcW w:w="9090" w:type="dxa"/>
        </w:tcPr>
        <w:p w:rsidR="00C34BFA" w:rsidRPr="00554F6E" w:rsidRDefault="00790A4C" w:rsidP="00D80355">
          <w:r w:rsidRPr="00D64B8B">
            <w:rPr>
              <w:rFonts w:cs="Arial"/>
            </w:rPr>
            <w:t xml:space="preserve">Compliance with 14 CFR </w:t>
          </w:r>
          <w:hyperlink r:id="rId1" w:history="1">
            <w:r w:rsidRPr="00D64B8B">
              <w:rPr>
                <w:rStyle w:val="Hyperlink"/>
                <w:rFonts w:cs="Arial"/>
              </w:rPr>
              <w:t>§ 145.221(a)</w:t>
            </w:r>
          </w:hyperlink>
        </w:p>
      </w:tc>
    </w:tr>
  </w:tbl>
  <w:p w:rsidR="00C34BFA" w:rsidRDefault="00B31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CC9" w:rsidRDefault="00760485">
    <w:pPr>
      <w:pStyle w:val="Header"/>
    </w:pPr>
    <w:r>
      <w:t>PLACE ON 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8B"/>
    <w:rsid w:val="00003AA8"/>
    <w:rsid w:val="00016E12"/>
    <w:rsid w:val="000308A8"/>
    <w:rsid w:val="0003447A"/>
    <w:rsid w:val="00046AC7"/>
    <w:rsid w:val="000570F0"/>
    <w:rsid w:val="000615B3"/>
    <w:rsid w:val="0007679B"/>
    <w:rsid w:val="00084421"/>
    <w:rsid w:val="00092054"/>
    <w:rsid w:val="000B0904"/>
    <w:rsid w:val="000B2586"/>
    <w:rsid w:val="000C2FE6"/>
    <w:rsid w:val="000D18BC"/>
    <w:rsid w:val="000D4F98"/>
    <w:rsid w:val="000E4DB4"/>
    <w:rsid w:val="000F62BD"/>
    <w:rsid w:val="00127E7C"/>
    <w:rsid w:val="00130F61"/>
    <w:rsid w:val="001418D7"/>
    <w:rsid w:val="001456FA"/>
    <w:rsid w:val="0015529E"/>
    <w:rsid w:val="00176405"/>
    <w:rsid w:val="001A0FDF"/>
    <w:rsid w:val="001B3480"/>
    <w:rsid w:val="001B626C"/>
    <w:rsid w:val="001C259C"/>
    <w:rsid w:val="001C6848"/>
    <w:rsid w:val="001D2B4D"/>
    <w:rsid w:val="001E0170"/>
    <w:rsid w:val="001E208E"/>
    <w:rsid w:val="001E455D"/>
    <w:rsid w:val="001F3FC5"/>
    <w:rsid w:val="00205B70"/>
    <w:rsid w:val="002118AF"/>
    <w:rsid w:val="002166F0"/>
    <w:rsid w:val="00230954"/>
    <w:rsid w:val="00241D34"/>
    <w:rsid w:val="00254D99"/>
    <w:rsid w:val="0026385B"/>
    <w:rsid w:val="002A3370"/>
    <w:rsid w:val="002B23D0"/>
    <w:rsid w:val="002C3239"/>
    <w:rsid w:val="002D1A1D"/>
    <w:rsid w:val="002D5EC3"/>
    <w:rsid w:val="002E7B3B"/>
    <w:rsid w:val="002F1D1F"/>
    <w:rsid w:val="002F6231"/>
    <w:rsid w:val="00301AED"/>
    <w:rsid w:val="003051F2"/>
    <w:rsid w:val="003237ED"/>
    <w:rsid w:val="00340F18"/>
    <w:rsid w:val="0035494C"/>
    <w:rsid w:val="003915E2"/>
    <w:rsid w:val="003962AE"/>
    <w:rsid w:val="003A7956"/>
    <w:rsid w:val="003B31D7"/>
    <w:rsid w:val="003B5774"/>
    <w:rsid w:val="003C664F"/>
    <w:rsid w:val="003C7875"/>
    <w:rsid w:val="003D584B"/>
    <w:rsid w:val="0040091C"/>
    <w:rsid w:val="00412685"/>
    <w:rsid w:val="004144BC"/>
    <w:rsid w:val="004271D1"/>
    <w:rsid w:val="0047220B"/>
    <w:rsid w:val="004A27DB"/>
    <w:rsid w:val="004A69C1"/>
    <w:rsid w:val="004D152F"/>
    <w:rsid w:val="004D624F"/>
    <w:rsid w:val="00500EF8"/>
    <w:rsid w:val="00504962"/>
    <w:rsid w:val="0050697E"/>
    <w:rsid w:val="00542B30"/>
    <w:rsid w:val="00576531"/>
    <w:rsid w:val="005A6349"/>
    <w:rsid w:val="005A7D82"/>
    <w:rsid w:val="005C0660"/>
    <w:rsid w:val="005C212F"/>
    <w:rsid w:val="005C2F9B"/>
    <w:rsid w:val="005C52FC"/>
    <w:rsid w:val="005D3188"/>
    <w:rsid w:val="005D37A9"/>
    <w:rsid w:val="005E1056"/>
    <w:rsid w:val="005E2E02"/>
    <w:rsid w:val="005F6371"/>
    <w:rsid w:val="005F6DAF"/>
    <w:rsid w:val="00600F1D"/>
    <w:rsid w:val="006209E4"/>
    <w:rsid w:val="00623EE0"/>
    <w:rsid w:val="006428D8"/>
    <w:rsid w:val="00645AC0"/>
    <w:rsid w:val="006714A9"/>
    <w:rsid w:val="00690A7E"/>
    <w:rsid w:val="00691029"/>
    <w:rsid w:val="006B3D62"/>
    <w:rsid w:val="006B5186"/>
    <w:rsid w:val="006C335F"/>
    <w:rsid w:val="006C6FAE"/>
    <w:rsid w:val="006D3947"/>
    <w:rsid w:val="006D4215"/>
    <w:rsid w:val="006E4A16"/>
    <w:rsid w:val="006E6222"/>
    <w:rsid w:val="006F1493"/>
    <w:rsid w:val="007014EC"/>
    <w:rsid w:val="00714B11"/>
    <w:rsid w:val="00717218"/>
    <w:rsid w:val="00726217"/>
    <w:rsid w:val="0074003D"/>
    <w:rsid w:val="0074084E"/>
    <w:rsid w:val="0075595F"/>
    <w:rsid w:val="00760485"/>
    <w:rsid w:val="0077618A"/>
    <w:rsid w:val="00783925"/>
    <w:rsid w:val="00784944"/>
    <w:rsid w:val="00790A4C"/>
    <w:rsid w:val="0079181E"/>
    <w:rsid w:val="00794D09"/>
    <w:rsid w:val="007A2E5F"/>
    <w:rsid w:val="007A30CF"/>
    <w:rsid w:val="007A3EEA"/>
    <w:rsid w:val="007A7F08"/>
    <w:rsid w:val="007B3160"/>
    <w:rsid w:val="007B3B26"/>
    <w:rsid w:val="007C7604"/>
    <w:rsid w:val="007D049E"/>
    <w:rsid w:val="007D5897"/>
    <w:rsid w:val="007E7153"/>
    <w:rsid w:val="008046B2"/>
    <w:rsid w:val="00836007"/>
    <w:rsid w:val="0085519C"/>
    <w:rsid w:val="00862D63"/>
    <w:rsid w:val="00865CB8"/>
    <w:rsid w:val="00866273"/>
    <w:rsid w:val="00871F8B"/>
    <w:rsid w:val="0087740F"/>
    <w:rsid w:val="008806E3"/>
    <w:rsid w:val="008845C4"/>
    <w:rsid w:val="008944E5"/>
    <w:rsid w:val="008C1009"/>
    <w:rsid w:val="008D1181"/>
    <w:rsid w:val="008E6ABD"/>
    <w:rsid w:val="009021CF"/>
    <w:rsid w:val="00907F64"/>
    <w:rsid w:val="0091457E"/>
    <w:rsid w:val="009216BD"/>
    <w:rsid w:val="00930742"/>
    <w:rsid w:val="00934AA7"/>
    <w:rsid w:val="00941390"/>
    <w:rsid w:val="009554D6"/>
    <w:rsid w:val="00974615"/>
    <w:rsid w:val="009B2C72"/>
    <w:rsid w:val="009B763A"/>
    <w:rsid w:val="009C4A3C"/>
    <w:rsid w:val="009E61FB"/>
    <w:rsid w:val="009F538B"/>
    <w:rsid w:val="009F7CD5"/>
    <w:rsid w:val="00A06A55"/>
    <w:rsid w:val="00A150FB"/>
    <w:rsid w:val="00A26A83"/>
    <w:rsid w:val="00A571CF"/>
    <w:rsid w:val="00A65979"/>
    <w:rsid w:val="00A8060E"/>
    <w:rsid w:val="00A81090"/>
    <w:rsid w:val="00A82557"/>
    <w:rsid w:val="00A8300A"/>
    <w:rsid w:val="00A9222B"/>
    <w:rsid w:val="00AA159B"/>
    <w:rsid w:val="00AC1DB9"/>
    <w:rsid w:val="00AC1F6C"/>
    <w:rsid w:val="00AE3B69"/>
    <w:rsid w:val="00B05328"/>
    <w:rsid w:val="00B226C5"/>
    <w:rsid w:val="00B3138E"/>
    <w:rsid w:val="00B375E8"/>
    <w:rsid w:val="00B417BB"/>
    <w:rsid w:val="00B461C3"/>
    <w:rsid w:val="00B6597F"/>
    <w:rsid w:val="00B8000D"/>
    <w:rsid w:val="00B8440E"/>
    <w:rsid w:val="00B87CE6"/>
    <w:rsid w:val="00B93003"/>
    <w:rsid w:val="00BC1DB8"/>
    <w:rsid w:val="00BE3F4A"/>
    <w:rsid w:val="00BE61F1"/>
    <w:rsid w:val="00C126E3"/>
    <w:rsid w:val="00C21E8E"/>
    <w:rsid w:val="00C7211E"/>
    <w:rsid w:val="00C77DB0"/>
    <w:rsid w:val="00C906CD"/>
    <w:rsid w:val="00C9563F"/>
    <w:rsid w:val="00CB0899"/>
    <w:rsid w:val="00CB580E"/>
    <w:rsid w:val="00CB66F9"/>
    <w:rsid w:val="00CB7B76"/>
    <w:rsid w:val="00CD2988"/>
    <w:rsid w:val="00CE5640"/>
    <w:rsid w:val="00CF68E1"/>
    <w:rsid w:val="00D10FF5"/>
    <w:rsid w:val="00D16594"/>
    <w:rsid w:val="00D2712E"/>
    <w:rsid w:val="00D27EE5"/>
    <w:rsid w:val="00D40483"/>
    <w:rsid w:val="00D6789B"/>
    <w:rsid w:val="00D72856"/>
    <w:rsid w:val="00D84732"/>
    <w:rsid w:val="00D873FA"/>
    <w:rsid w:val="00D95756"/>
    <w:rsid w:val="00DD56A5"/>
    <w:rsid w:val="00DD7346"/>
    <w:rsid w:val="00DE7850"/>
    <w:rsid w:val="00DF0CDB"/>
    <w:rsid w:val="00DF22D5"/>
    <w:rsid w:val="00E14428"/>
    <w:rsid w:val="00E321A4"/>
    <w:rsid w:val="00E32FF9"/>
    <w:rsid w:val="00E455B2"/>
    <w:rsid w:val="00E47DC0"/>
    <w:rsid w:val="00E5140E"/>
    <w:rsid w:val="00E6115D"/>
    <w:rsid w:val="00E75EE2"/>
    <w:rsid w:val="00E76598"/>
    <w:rsid w:val="00E85305"/>
    <w:rsid w:val="00E939C0"/>
    <w:rsid w:val="00E94CBE"/>
    <w:rsid w:val="00EA509E"/>
    <w:rsid w:val="00EB1A49"/>
    <w:rsid w:val="00EC304F"/>
    <w:rsid w:val="00EC7A4B"/>
    <w:rsid w:val="00ED4D4F"/>
    <w:rsid w:val="00EE0562"/>
    <w:rsid w:val="00EF2E77"/>
    <w:rsid w:val="00F146CD"/>
    <w:rsid w:val="00F159B4"/>
    <w:rsid w:val="00F15E04"/>
    <w:rsid w:val="00F40351"/>
    <w:rsid w:val="00F40ABD"/>
    <w:rsid w:val="00F4165E"/>
    <w:rsid w:val="00F63F65"/>
    <w:rsid w:val="00F65CBC"/>
    <w:rsid w:val="00F84972"/>
    <w:rsid w:val="00F90550"/>
    <w:rsid w:val="00F970CD"/>
    <w:rsid w:val="00FC53A2"/>
    <w:rsid w:val="00FD2492"/>
    <w:rsid w:val="00FD3488"/>
    <w:rsid w:val="00FE18A3"/>
    <w:rsid w:val="00FE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8B"/>
    <w:pPr>
      <w:widowControl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538B"/>
    <w:pPr>
      <w:tabs>
        <w:tab w:val="center" w:pos="4320"/>
        <w:tab w:val="right" w:pos="8640"/>
      </w:tabs>
    </w:pPr>
  </w:style>
  <w:style w:type="character" w:customStyle="1" w:styleId="HeaderChar">
    <w:name w:val="Header Char"/>
    <w:basedOn w:val="DefaultParagraphFont"/>
    <w:link w:val="Header"/>
    <w:rsid w:val="009F538B"/>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E76598"/>
    <w:rPr>
      <w:sz w:val="20"/>
      <w:szCs w:val="20"/>
    </w:rPr>
  </w:style>
  <w:style w:type="character" w:customStyle="1" w:styleId="FootnoteTextChar">
    <w:name w:val="Footnote Text Char"/>
    <w:basedOn w:val="DefaultParagraphFont"/>
    <w:link w:val="FootnoteText"/>
    <w:uiPriority w:val="99"/>
    <w:semiHidden/>
    <w:rsid w:val="00E7659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76598"/>
    <w:rPr>
      <w:vertAlign w:val="superscript"/>
    </w:rPr>
  </w:style>
  <w:style w:type="paragraph" w:styleId="NoSpacing">
    <w:name w:val="No Spacing"/>
    <w:uiPriority w:val="1"/>
    <w:qFormat/>
    <w:rsid w:val="006428D8"/>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15529E"/>
    <w:rPr>
      <w:rFonts w:ascii="Tahoma" w:hAnsi="Tahoma" w:cs="Tahoma"/>
      <w:sz w:val="16"/>
      <w:szCs w:val="16"/>
    </w:rPr>
  </w:style>
  <w:style w:type="character" w:customStyle="1" w:styleId="BalloonTextChar">
    <w:name w:val="Balloon Text Char"/>
    <w:basedOn w:val="DefaultParagraphFont"/>
    <w:link w:val="BalloonText"/>
    <w:uiPriority w:val="99"/>
    <w:semiHidden/>
    <w:rsid w:val="0015529E"/>
    <w:rPr>
      <w:rFonts w:ascii="Tahoma" w:eastAsia="Times New Roman" w:hAnsi="Tahoma" w:cs="Tahoma"/>
      <w:sz w:val="16"/>
      <w:szCs w:val="16"/>
    </w:rPr>
  </w:style>
  <w:style w:type="character" w:customStyle="1" w:styleId="apple-converted-space">
    <w:name w:val="apple-converted-space"/>
    <w:basedOn w:val="DefaultParagraphFont"/>
    <w:rsid w:val="004D624F"/>
  </w:style>
  <w:style w:type="character" w:styleId="Emphasis">
    <w:name w:val="Emphasis"/>
    <w:basedOn w:val="DefaultParagraphFont"/>
    <w:uiPriority w:val="20"/>
    <w:qFormat/>
    <w:rsid w:val="004D624F"/>
    <w:rPr>
      <w:i/>
      <w:iCs/>
    </w:rPr>
  </w:style>
  <w:style w:type="character" w:styleId="Hyperlink">
    <w:name w:val="Hyperlink"/>
    <w:basedOn w:val="DefaultParagraphFont"/>
    <w:uiPriority w:val="99"/>
    <w:unhideWhenUsed/>
    <w:rsid w:val="004D624F"/>
    <w:rPr>
      <w:color w:val="0000FF"/>
      <w:u w:val="single"/>
    </w:rPr>
  </w:style>
  <w:style w:type="paragraph" w:styleId="Footer">
    <w:name w:val="footer"/>
    <w:basedOn w:val="Normal"/>
    <w:link w:val="FooterChar"/>
    <w:uiPriority w:val="99"/>
    <w:unhideWhenUsed/>
    <w:rsid w:val="00790A4C"/>
    <w:pPr>
      <w:tabs>
        <w:tab w:val="center" w:pos="4680"/>
        <w:tab w:val="right" w:pos="9360"/>
      </w:tabs>
    </w:pPr>
  </w:style>
  <w:style w:type="character" w:customStyle="1" w:styleId="FooterChar">
    <w:name w:val="Footer Char"/>
    <w:basedOn w:val="DefaultParagraphFont"/>
    <w:link w:val="Footer"/>
    <w:uiPriority w:val="99"/>
    <w:rsid w:val="00790A4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F1493"/>
    <w:rPr>
      <w:color w:val="800080" w:themeColor="followedHyperlink"/>
      <w:u w:val="single"/>
    </w:rPr>
  </w:style>
  <w:style w:type="character" w:styleId="CommentReference">
    <w:name w:val="annotation reference"/>
    <w:basedOn w:val="DefaultParagraphFont"/>
    <w:uiPriority w:val="99"/>
    <w:semiHidden/>
    <w:unhideWhenUsed/>
    <w:rsid w:val="00092054"/>
    <w:rPr>
      <w:sz w:val="16"/>
      <w:szCs w:val="16"/>
    </w:rPr>
  </w:style>
  <w:style w:type="paragraph" w:styleId="CommentText">
    <w:name w:val="annotation text"/>
    <w:basedOn w:val="Normal"/>
    <w:link w:val="CommentTextChar"/>
    <w:uiPriority w:val="99"/>
    <w:semiHidden/>
    <w:unhideWhenUsed/>
    <w:rsid w:val="00092054"/>
    <w:rPr>
      <w:sz w:val="20"/>
      <w:szCs w:val="20"/>
    </w:rPr>
  </w:style>
  <w:style w:type="character" w:customStyle="1" w:styleId="CommentTextChar">
    <w:name w:val="Comment Text Char"/>
    <w:basedOn w:val="DefaultParagraphFont"/>
    <w:link w:val="CommentText"/>
    <w:uiPriority w:val="99"/>
    <w:semiHidden/>
    <w:rsid w:val="000920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054"/>
    <w:rPr>
      <w:b/>
      <w:bCs/>
    </w:rPr>
  </w:style>
  <w:style w:type="character" w:customStyle="1" w:styleId="CommentSubjectChar">
    <w:name w:val="Comment Subject Char"/>
    <w:basedOn w:val="CommentTextChar"/>
    <w:link w:val="CommentSubject"/>
    <w:uiPriority w:val="99"/>
    <w:semiHidden/>
    <w:rsid w:val="00092054"/>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8B"/>
    <w:pPr>
      <w:widowControl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538B"/>
    <w:pPr>
      <w:tabs>
        <w:tab w:val="center" w:pos="4320"/>
        <w:tab w:val="right" w:pos="8640"/>
      </w:tabs>
    </w:pPr>
  </w:style>
  <w:style w:type="character" w:customStyle="1" w:styleId="HeaderChar">
    <w:name w:val="Header Char"/>
    <w:basedOn w:val="DefaultParagraphFont"/>
    <w:link w:val="Header"/>
    <w:rsid w:val="009F538B"/>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E76598"/>
    <w:rPr>
      <w:sz w:val="20"/>
      <w:szCs w:val="20"/>
    </w:rPr>
  </w:style>
  <w:style w:type="character" w:customStyle="1" w:styleId="FootnoteTextChar">
    <w:name w:val="Footnote Text Char"/>
    <w:basedOn w:val="DefaultParagraphFont"/>
    <w:link w:val="FootnoteText"/>
    <w:uiPriority w:val="99"/>
    <w:semiHidden/>
    <w:rsid w:val="00E7659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76598"/>
    <w:rPr>
      <w:vertAlign w:val="superscript"/>
    </w:rPr>
  </w:style>
  <w:style w:type="paragraph" w:styleId="NoSpacing">
    <w:name w:val="No Spacing"/>
    <w:uiPriority w:val="1"/>
    <w:qFormat/>
    <w:rsid w:val="006428D8"/>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15529E"/>
    <w:rPr>
      <w:rFonts w:ascii="Tahoma" w:hAnsi="Tahoma" w:cs="Tahoma"/>
      <w:sz w:val="16"/>
      <w:szCs w:val="16"/>
    </w:rPr>
  </w:style>
  <w:style w:type="character" w:customStyle="1" w:styleId="BalloonTextChar">
    <w:name w:val="Balloon Text Char"/>
    <w:basedOn w:val="DefaultParagraphFont"/>
    <w:link w:val="BalloonText"/>
    <w:uiPriority w:val="99"/>
    <w:semiHidden/>
    <w:rsid w:val="0015529E"/>
    <w:rPr>
      <w:rFonts w:ascii="Tahoma" w:eastAsia="Times New Roman" w:hAnsi="Tahoma" w:cs="Tahoma"/>
      <w:sz w:val="16"/>
      <w:szCs w:val="16"/>
    </w:rPr>
  </w:style>
  <w:style w:type="character" w:customStyle="1" w:styleId="apple-converted-space">
    <w:name w:val="apple-converted-space"/>
    <w:basedOn w:val="DefaultParagraphFont"/>
    <w:rsid w:val="004D624F"/>
  </w:style>
  <w:style w:type="character" w:styleId="Emphasis">
    <w:name w:val="Emphasis"/>
    <w:basedOn w:val="DefaultParagraphFont"/>
    <w:uiPriority w:val="20"/>
    <w:qFormat/>
    <w:rsid w:val="004D624F"/>
    <w:rPr>
      <w:i/>
      <w:iCs/>
    </w:rPr>
  </w:style>
  <w:style w:type="character" w:styleId="Hyperlink">
    <w:name w:val="Hyperlink"/>
    <w:basedOn w:val="DefaultParagraphFont"/>
    <w:uiPriority w:val="99"/>
    <w:unhideWhenUsed/>
    <w:rsid w:val="004D624F"/>
    <w:rPr>
      <w:color w:val="0000FF"/>
      <w:u w:val="single"/>
    </w:rPr>
  </w:style>
  <w:style w:type="paragraph" w:styleId="Footer">
    <w:name w:val="footer"/>
    <w:basedOn w:val="Normal"/>
    <w:link w:val="FooterChar"/>
    <w:uiPriority w:val="99"/>
    <w:unhideWhenUsed/>
    <w:rsid w:val="00790A4C"/>
    <w:pPr>
      <w:tabs>
        <w:tab w:val="center" w:pos="4680"/>
        <w:tab w:val="right" w:pos="9360"/>
      </w:tabs>
    </w:pPr>
  </w:style>
  <w:style w:type="character" w:customStyle="1" w:styleId="FooterChar">
    <w:name w:val="Footer Char"/>
    <w:basedOn w:val="DefaultParagraphFont"/>
    <w:link w:val="Footer"/>
    <w:uiPriority w:val="99"/>
    <w:rsid w:val="00790A4C"/>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F1493"/>
    <w:rPr>
      <w:color w:val="800080" w:themeColor="followedHyperlink"/>
      <w:u w:val="single"/>
    </w:rPr>
  </w:style>
  <w:style w:type="character" w:styleId="CommentReference">
    <w:name w:val="annotation reference"/>
    <w:basedOn w:val="DefaultParagraphFont"/>
    <w:uiPriority w:val="99"/>
    <w:semiHidden/>
    <w:unhideWhenUsed/>
    <w:rsid w:val="00092054"/>
    <w:rPr>
      <w:sz w:val="16"/>
      <w:szCs w:val="16"/>
    </w:rPr>
  </w:style>
  <w:style w:type="paragraph" w:styleId="CommentText">
    <w:name w:val="annotation text"/>
    <w:basedOn w:val="Normal"/>
    <w:link w:val="CommentTextChar"/>
    <w:uiPriority w:val="99"/>
    <w:semiHidden/>
    <w:unhideWhenUsed/>
    <w:rsid w:val="00092054"/>
    <w:rPr>
      <w:sz w:val="20"/>
      <w:szCs w:val="20"/>
    </w:rPr>
  </w:style>
  <w:style w:type="character" w:customStyle="1" w:styleId="CommentTextChar">
    <w:name w:val="Comment Text Char"/>
    <w:basedOn w:val="DefaultParagraphFont"/>
    <w:link w:val="CommentText"/>
    <w:uiPriority w:val="99"/>
    <w:semiHidden/>
    <w:rsid w:val="0009205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054"/>
    <w:rPr>
      <w:b/>
      <w:bCs/>
    </w:rPr>
  </w:style>
  <w:style w:type="character" w:customStyle="1" w:styleId="CommentSubjectChar">
    <w:name w:val="Comment Subject Char"/>
    <w:basedOn w:val="CommentTextChar"/>
    <w:link w:val="CommentSubject"/>
    <w:uiPriority w:val="99"/>
    <w:semiHidden/>
    <w:rsid w:val="000920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3ef0a953d5da0569d9d94254a850f79a&amp;node=se14.3.145_1221&amp;rgn=div8" TargetMode="External"/><Relationship Id="rId13" Type="http://schemas.openxmlformats.org/officeDocument/2006/relationships/hyperlink" Target="http://www.ecfr.gov/cgi-bin/text-idx?SID=3ef0a953d5da0569d9d94254a850f79a&amp;node=se14.3.145_1109&amp;rgn=div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fr.gov/cgi-bin/text-idx?SID=3ef0a953d5da0569d9d94254a850f79a&amp;node=se14.3.145_1221&amp;rgn=div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3ef0a953d5da0569d9d94254a850f79a&amp;node=se14.3.145_1221&amp;rgn=div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r.gov/cgi-bin/text-idx?SID=3ef0a953d5da0569d9d94254a850f79a&amp;node=se14.3.145_1221&amp;rgn=div8" TargetMode="External"/><Relationship Id="rId4" Type="http://schemas.openxmlformats.org/officeDocument/2006/relationships/settings" Target="settings.xml"/><Relationship Id="rId9" Type="http://schemas.openxmlformats.org/officeDocument/2006/relationships/hyperlink" Target="http://www.ecfr.gov/cgi-bin/text-idx?SID=3ef0a953d5da0569d9d94254a850f79a&amp;node=se14.3.145_1221&amp;rgn=div8" TargetMode="External"/><Relationship Id="rId14" Type="http://schemas.openxmlformats.org/officeDocument/2006/relationships/hyperlink" Target="http://www.ecfr.gov/cgi-bin/text-idx?SID=3ef0a953d5da0569d9d94254a850f79a&amp;node=se14.3.145_1205&amp;rgn=div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gpo.gov/fdsys/pkg/FR-2003-12-30/pdf/03-31884.pdf" TargetMode="External"/><Relationship Id="rId7" Type="http://schemas.openxmlformats.org/officeDocument/2006/relationships/hyperlink" Target="http://arsa.org/wp-content/uploads/2014/09/Section.145-221-Petition-20140922.pdf" TargetMode="External"/><Relationship Id="rId2" Type="http://schemas.openxmlformats.org/officeDocument/2006/relationships/hyperlink" Target="http://www.gpo.gov/fdsys/pkg/FR-2001-08-06/pdf/01-19362.pdf" TargetMode="External"/><Relationship Id="rId1" Type="http://schemas.openxmlformats.org/officeDocument/2006/relationships/hyperlink" Target="http://www.gpo.gov/fdsys/pkg/USCODE-2013-title5/pdf/USCODE-2013-title5-partI-chap5-subchapII.pdf" TargetMode="External"/><Relationship Id="rId6" Type="http://schemas.openxmlformats.org/officeDocument/2006/relationships/hyperlink" Target="http://www.gpo.gov/fdsys/pkg/FR-2003-12-30/pdf/03-31884.pdf" TargetMode="External"/><Relationship Id="rId5" Type="http://schemas.openxmlformats.org/officeDocument/2006/relationships/hyperlink" Target="http://www.gpo.gov/fdsys/pkg/USCODE-2013-title5/pdf/USCODE-2013-title5-partI-chap5-subchapII-sec553.pdf" TargetMode="External"/><Relationship Id="rId4" Type="http://schemas.openxmlformats.org/officeDocument/2006/relationships/hyperlink" Target="http://www.gpo.gov/fdsys/pkg/FR-2014-08-12/pdf/2014-18938.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cfr.gov/cgi-bin/text-idx?SID=3ef0a953d5da0569d9d94254a850f79a&amp;node=se14.3.145_1221&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887A-83DF-4691-9CF7-11924E45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Vlieg</dc:creator>
  <cp:lastModifiedBy>Brett Levanto</cp:lastModifiedBy>
  <cp:revision>2</cp:revision>
  <cp:lastPrinted>2014-10-28T17:04:00Z</cp:lastPrinted>
  <dcterms:created xsi:type="dcterms:W3CDTF">2014-10-28T20:35:00Z</dcterms:created>
  <dcterms:modified xsi:type="dcterms:W3CDTF">2014-10-28T20:35:00Z</dcterms:modified>
</cp:coreProperties>
</file>