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0"/>
        <w:gridCol w:w="4219"/>
        <w:gridCol w:w="4619"/>
      </w:tblGrid>
      <w:tr w:rsidR="00240B21" w:rsidRPr="0011258D" w:rsidTr="00DB63FB">
        <w:tc>
          <w:tcPr>
            <w:tcW w:w="4849" w:type="dxa"/>
            <w:gridSpan w:val="2"/>
          </w:tcPr>
          <w:p w:rsidR="00240B21" w:rsidRPr="0011258D" w:rsidRDefault="00240B21" w:rsidP="00456CE7">
            <w:pPr>
              <w:spacing w:before="0" w:after="0"/>
              <w:rPr>
                <w:rFonts w:cs="Arial"/>
                <w:b/>
              </w:rPr>
            </w:pPr>
            <w:r w:rsidRPr="00176D19">
              <w:rPr>
                <w:rFonts w:cs="Arial"/>
                <w:b/>
                <w:highlight w:val="yellow"/>
              </w:rPr>
              <w:t>[DATE]</w:t>
            </w:r>
          </w:p>
        </w:tc>
        <w:tc>
          <w:tcPr>
            <w:tcW w:w="4619" w:type="dxa"/>
          </w:tcPr>
          <w:p w:rsidR="00240B21" w:rsidRPr="0011258D" w:rsidRDefault="00240B21" w:rsidP="00456CE7">
            <w:pPr>
              <w:spacing w:before="0" w:after="0"/>
              <w:rPr>
                <w:rFonts w:cs="Arial"/>
              </w:rPr>
            </w:pPr>
          </w:p>
        </w:tc>
      </w:tr>
      <w:tr w:rsidR="00240B21" w:rsidRPr="0011258D" w:rsidTr="00DB63FB">
        <w:tc>
          <w:tcPr>
            <w:tcW w:w="4849" w:type="dxa"/>
            <w:gridSpan w:val="2"/>
          </w:tcPr>
          <w:p w:rsidR="00240B21" w:rsidRPr="0011258D" w:rsidRDefault="00240B21" w:rsidP="00456CE7">
            <w:pPr>
              <w:spacing w:before="0" w:after="0"/>
              <w:rPr>
                <w:rFonts w:cs="Arial"/>
              </w:rPr>
            </w:pPr>
          </w:p>
        </w:tc>
        <w:tc>
          <w:tcPr>
            <w:tcW w:w="4619" w:type="dxa"/>
          </w:tcPr>
          <w:p w:rsidR="00240B21" w:rsidRPr="0011258D" w:rsidRDefault="00240B21" w:rsidP="00456CE7">
            <w:pPr>
              <w:spacing w:before="0" w:after="0"/>
              <w:rPr>
                <w:rFonts w:cs="Arial"/>
              </w:rPr>
            </w:pPr>
          </w:p>
        </w:tc>
      </w:tr>
      <w:tr w:rsidR="00240B21" w:rsidRPr="0011258D" w:rsidTr="00DB63FB">
        <w:tc>
          <w:tcPr>
            <w:tcW w:w="4849" w:type="dxa"/>
            <w:gridSpan w:val="2"/>
          </w:tcPr>
          <w:p w:rsidR="00240B21" w:rsidRPr="00240B21" w:rsidRDefault="00240B21" w:rsidP="00240B21">
            <w:pPr>
              <w:spacing w:before="0" w:after="0"/>
              <w:rPr>
                <w:rFonts w:cs="Arial"/>
                <w:kern w:val="24"/>
              </w:rPr>
            </w:pPr>
            <w:r w:rsidRPr="00240B21">
              <w:rPr>
                <w:rFonts w:cs="Arial"/>
                <w:kern w:val="24"/>
              </w:rPr>
              <w:t xml:space="preserve">U.S. Department of Transportation </w:t>
            </w:r>
          </w:p>
          <w:p w:rsidR="00240B21" w:rsidRPr="00240B21" w:rsidRDefault="00240B21" w:rsidP="00240B21">
            <w:pPr>
              <w:spacing w:before="0" w:after="0"/>
              <w:rPr>
                <w:rFonts w:cs="Arial"/>
                <w:kern w:val="24"/>
              </w:rPr>
            </w:pPr>
            <w:r w:rsidRPr="00240B21">
              <w:rPr>
                <w:rFonts w:cs="Arial"/>
                <w:kern w:val="24"/>
              </w:rPr>
              <w:t xml:space="preserve">Docket Operations </w:t>
            </w:r>
          </w:p>
          <w:p w:rsidR="00240B21" w:rsidRPr="00240B21" w:rsidRDefault="00240B21" w:rsidP="00240B21">
            <w:pPr>
              <w:spacing w:before="0" w:after="0"/>
              <w:rPr>
                <w:rFonts w:cs="Arial"/>
                <w:kern w:val="24"/>
              </w:rPr>
            </w:pPr>
            <w:r w:rsidRPr="00240B21">
              <w:rPr>
                <w:rFonts w:cs="Arial"/>
                <w:kern w:val="24"/>
              </w:rPr>
              <w:t xml:space="preserve">West Building Ground Floor </w:t>
            </w:r>
          </w:p>
          <w:p w:rsidR="00240B21" w:rsidRPr="00240B21" w:rsidRDefault="00240B21" w:rsidP="00240B21">
            <w:pPr>
              <w:spacing w:before="0" w:after="0"/>
              <w:rPr>
                <w:rFonts w:cs="Arial"/>
                <w:kern w:val="24"/>
              </w:rPr>
            </w:pPr>
            <w:r w:rsidRPr="00240B21">
              <w:rPr>
                <w:rFonts w:cs="Arial"/>
                <w:kern w:val="24"/>
              </w:rPr>
              <w:t xml:space="preserve">Room W12-140 </w:t>
            </w:r>
          </w:p>
          <w:p w:rsidR="00240B21" w:rsidRPr="00240B21" w:rsidRDefault="00240B21" w:rsidP="00240B21">
            <w:pPr>
              <w:spacing w:before="0" w:after="0"/>
              <w:rPr>
                <w:rFonts w:cs="Arial"/>
                <w:kern w:val="24"/>
              </w:rPr>
            </w:pPr>
            <w:r w:rsidRPr="00240B21">
              <w:rPr>
                <w:rFonts w:cs="Arial"/>
                <w:kern w:val="24"/>
              </w:rPr>
              <w:t xml:space="preserve">1200 New Jersey Avenue, SE </w:t>
            </w:r>
          </w:p>
          <w:p w:rsidR="00240B21" w:rsidRPr="0011258D" w:rsidRDefault="00240B21" w:rsidP="00240B21">
            <w:pPr>
              <w:spacing w:before="0" w:after="0"/>
              <w:rPr>
                <w:rFonts w:cs="Arial"/>
              </w:rPr>
            </w:pPr>
            <w:r w:rsidRPr="00240B21">
              <w:rPr>
                <w:rFonts w:cs="Arial"/>
                <w:kern w:val="24"/>
              </w:rPr>
              <w:t>Washington, DC 20590-0001</w:t>
            </w:r>
          </w:p>
        </w:tc>
        <w:tc>
          <w:tcPr>
            <w:tcW w:w="4619" w:type="dxa"/>
          </w:tcPr>
          <w:p w:rsidR="00240B21" w:rsidRPr="0011258D" w:rsidRDefault="00240B21" w:rsidP="00456CE7">
            <w:pPr>
              <w:spacing w:before="0" w:after="0"/>
              <w:rPr>
                <w:rFonts w:cs="Arial"/>
              </w:rPr>
            </w:pPr>
            <w:r w:rsidRPr="0011258D">
              <w:rPr>
                <w:rFonts w:cs="Arial"/>
                <w:kern w:val="24"/>
              </w:rPr>
              <w:t xml:space="preserve">Submitted Electronically to: </w:t>
            </w:r>
            <w:hyperlink r:id="rId7" w:history="1">
              <w:r w:rsidRPr="0011258D">
                <w:rPr>
                  <w:rStyle w:val="Hyperlink"/>
                  <w:rFonts w:cs="Arial"/>
                  <w:kern w:val="24"/>
                </w:rPr>
                <w:t>www.regulations.gov</w:t>
              </w:r>
            </w:hyperlink>
          </w:p>
        </w:tc>
      </w:tr>
      <w:tr w:rsidR="00240B21" w:rsidRPr="0011258D" w:rsidTr="00DB63FB">
        <w:tc>
          <w:tcPr>
            <w:tcW w:w="4849" w:type="dxa"/>
            <w:gridSpan w:val="2"/>
          </w:tcPr>
          <w:p w:rsidR="00240B21" w:rsidRPr="0011258D" w:rsidRDefault="00240B21" w:rsidP="00456CE7">
            <w:pPr>
              <w:spacing w:before="0" w:after="0"/>
              <w:rPr>
                <w:rFonts w:cs="Arial"/>
              </w:rPr>
            </w:pPr>
          </w:p>
        </w:tc>
        <w:tc>
          <w:tcPr>
            <w:tcW w:w="4619" w:type="dxa"/>
          </w:tcPr>
          <w:p w:rsidR="00240B21" w:rsidRPr="0011258D" w:rsidRDefault="00240B21" w:rsidP="00456CE7">
            <w:pPr>
              <w:spacing w:before="0" w:after="0"/>
              <w:rPr>
                <w:rFonts w:cs="Arial"/>
              </w:rPr>
            </w:pPr>
          </w:p>
        </w:tc>
      </w:tr>
      <w:tr w:rsidR="00240B21" w:rsidRPr="00C05EB9" w:rsidTr="00DB63FB">
        <w:tc>
          <w:tcPr>
            <w:tcW w:w="630" w:type="dxa"/>
          </w:tcPr>
          <w:p w:rsidR="00240B21" w:rsidRPr="00C05EB9" w:rsidRDefault="00240B21" w:rsidP="00456CE7">
            <w:pPr>
              <w:spacing w:before="0" w:after="0"/>
              <w:rPr>
                <w:rFonts w:cs="Arial"/>
              </w:rPr>
            </w:pPr>
            <w:r w:rsidRPr="00C05EB9">
              <w:rPr>
                <w:rFonts w:cs="Arial"/>
              </w:rPr>
              <w:t>RE:</w:t>
            </w:r>
          </w:p>
        </w:tc>
        <w:tc>
          <w:tcPr>
            <w:tcW w:w="8838" w:type="dxa"/>
            <w:gridSpan w:val="2"/>
          </w:tcPr>
          <w:p w:rsidR="00EB429E" w:rsidRDefault="00240B21" w:rsidP="00240B21">
            <w:pPr>
              <w:spacing w:before="0" w:after="0"/>
              <w:rPr>
                <w:rFonts w:cs="Arial"/>
                <w:kern w:val="24"/>
              </w:rPr>
            </w:pPr>
            <w:r w:rsidRPr="00C05EB9">
              <w:rPr>
                <w:rFonts w:cs="Arial"/>
                <w:kern w:val="24"/>
              </w:rPr>
              <w:t xml:space="preserve">Comments to </w:t>
            </w:r>
            <w:r w:rsidRPr="00240B21">
              <w:rPr>
                <w:rFonts w:cs="Arial"/>
                <w:kern w:val="24"/>
              </w:rPr>
              <w:t>Petition for Rulem</w:t>
            </w:r>
            <w:r w:rsidR="00EB429E">
              <w:rPr>
                <w:rFonts w:cs="Arial"/>
                <w:kern w:val="24"/>
              </w:rPr>
              <w:t xml:space="preserve">aking on </w:t>
            </w:r>
            <w:r w:rsidR="00176D19">
              <w:t xml:space="preserve">14 </w:t>
            </w:r>
            <w:proofErr w:type="spellStart"/>
            <w:r w:rsidR="00176D19">
              <w:t>CFR</w:t>
            </w:r>
            <w:proofErr w:type="spellEnd"/>
            <w:r w:rsidR="00176D19">
              <w:t xml:space="preserve"> </w:t>
            </w:r>
            <w:r w:rsidR="00176D19" w:rsidRPr="00B6070C">
              <w:rPr>
                <w:rFonts w:cs="Arial"/>
                <w:bCs/>
              </w:rPr>
              <w:t>§</w:t>
            </w:r>
            <w:r w:rsidR="00176D19">
              <w:t>145.221</w:t>
            </w:r>
          </w:p>
          <w:p w:rsidR="00240B21" w:rsidRPr="00C05EB9" w:rsidRDefault="00240B21" w:rsidP="00240B21">
            <w:pPr>
              <w:spacing w:before="0" w:after="0"/>
              <w:rPr>
                <w:rFonts w:cs="Arial"/>
                <w:kern w:val="24"/>
              </w:rPr>
            </w:pPr>
            <w:r w:rsidRPr="00C05EB9">
              <w:rPr>
                <w:rFonts w:cs="Arial"/>
                <w:kern w:val="24"/>
              </w:rPr>
              <w:t xml:space="preserve">Docket No. </w:t>
            </w:r>
            <w:r w:rsidRPr="00C05EB9">
              <w:rPr>
                <w:rFonts w:cs="Arial"/>
              </w:rPr>
              <w:t>FAA-</w:t>
            </w:r>
            <w:r w:rsidRPr="00240B21">
              <w:rPr>
                <w:rFonts w:cs="Arial"/>
              </w:rPr>
              <w:t>2014-0767-0001</w:t>
            </w:r>
          </w:p>
        </w:tc>
      </w:tr>
    </w:tbl>
    <w:p w:rsidR="008D1181" w:rsidRDefault="00240B21">
      <w:r>
        <w:t>To Whom It May Concern:</w:t>
      </w:r>
    </w:p>
    <w:p w:rsidR="00EB429E" w:rsidRDefault="00240B21" w:rsidP="005064C6">
      <w:pPr>
        <w:jc w:val="both"/>
      </w:pPr>
      <w:r>
        <w:t xml:space="preserve">The current revision to 14 </w:t>
      </w:r>
      <w:proofErr w:type="spellStart"/>
      <w:r>
        <w:t>CFR</w:t>
      </w:r>
      <w:proofErr w:type="spellEnd"/>
      <w:r>
        <w:t xml:space="preserve"> </w:t>
      </w:r>
      <w:r w:rsidR="00B6070C" w:rsidRPr="00B6070C">
        <w:rPr>
          <w:rFonts w:cs="Arial"/>
          <w:bCs/>
        </w:rPr>
        <w:t>§</w:t>
      </w:r>
      <w:r>
        <w:t>145.221(a)</w:t>
      </w:r>
      <w:r w:rsidR="00176D19">
        <w:t>,</w:t>
      </w:r>
      <w:r>
        <w:t xml:space="preserve"> which removes the word "serious" from </w:t>
      </w:r>
      <w:proofErr w:type="spellStart"/>
      <w:r>
        <w:t>SDR</w:t>
      </w:r>
      <w:proofErr w:type="spellEnd"/>
      <w:r>
        <w:t xml:space="preserve"> reporting requirements</w:t>
      </w:r>
      <w:r w:rsidR="00176D19">
        <w:t>,</w:t>
      </w:r>
      <w:r>
        <w:t xml:space="preserve"> will have a substantial impact on this and all </w:t>
      </w:r>
      <w:r w:rsidR="00EB429E">
        <w:t>[</w:t>
      </w:r>
      <w:r w:rsidRPr="005064C6">
        <w:rPr>
          <w:highlight w:val="yellow"/>
        </w:rPr>
        <w:t>small</w:t>
      </w:r>
      <w:r w:rsidR="00EB429E">
        <w:t>]</w:t>
      </w:r>
      <w:r>
        <w:t xml:space="preserve"> repair stations.</w:t>
      </w:r>
    </w:p>
    <w:p w:rsidR="00EB429E" w:rsidRDefault="00EB429E" w:rsidP="005064C6">
      <w:pPr>
        <w:jc w:val="both"/>
      </w:pPr>
      <w:r>
        <w:t>Unless the petition is granted, o</w:t>
      </w:r>
      <w:r w:rsidR="00240B21">
        <w:t xml:space="preserve">ur organization will be required to submit reports for all components that arrive at our shop. Every article has a “failure, malfunction, or defect” – that </w:t>
      </w:r>
      <w:r w:rsidR="00176D19">
        <w:t>is why</w:t>
      </w:r>
      <w:r w:rsidR="00240B21">
        <w:t xml:space="preserve"> maintenance, preventive maintenance or alteration must be performed!</w:t>
      </w:r>
    </w:p>
    <w:p w:rsidR="00240B21" w:rsidRDefault="00240B21" w:rsidP="005064C6">
      <w:pPr>
        <w:jc w:val="both"/>
      </w:pPr>
      <w:r>
        <w:t xml:space="preserve">This repair station processes </w:t>
      </w:r>
      <w:r>
        <w:rPr>
          <w:highlight w:val="yellow"/>
        </w:rPr>
        <w:t>__</w:t>
      </w:r>
      <w:r>
        <w:t xml:space="preserve"> units per week, which equates to over </w:t>
      </w:r>
      <w:r>
        <w:rPr>
          <w:highlight w:val="yellow"/>
        </w:rPr>
        <w:t>___</w:t>
      </w:r>
      <w:r>
        <w:t xml:space="preserve"> a year—to file a report on each unit would take at least 15 minutes (if not more since lots of the information requested is not readily available and must be obtained from the customer, who in turn may need to obtain information from the actual operator).</w:t>
      </w:r>
    </w:p>
    <w:p w:rsidR="00240B21" w:rsidRDefault="00240B21" w:rsidP="005064C6">
      <w:pPr>
        <w:jc w:val="both"/>
      </w:pPr>
      <w:r>
        <w:t xml:space="preserve">Our organization is currently evaluating the hiring of up to </w:t>
      </w:r>
      <w:r>
        <w:rPr>
          <w:highlight w:val="yellow"/>
        </w:rPr>
        <w:t>__</w:t>
      </w:r>
      <w:r>
        <w:t xml:space="preserve"> additional persons to comply with the expanded reporting. This is an unplanned </w:t>
      </w:r>
      <w:r>
        <w:rPr>
          <w:highlight w:val="yellow"/>
        </w:rPr>
        <w:t>__</w:t>
      </w:r>
      <w:r>
        <w:t xml:space="preserve"> % increase in headcount, simply to process “all failures, malfunctions and defects” on articles received by this repair station. As there are over 4,000 domestic repair stations; if half of those facilities have to add one additional head to their rosters to comply with the rule; at a low wage of </w:t>
      </w:r>
      <w:r w:rsidRPr="00240B21">
        <w:rPr>
          <w:highlight w:val="yellow"/>
        </w:rPr>
        <w:t>$10.00</w:t>
      </w:r>
      <w:r>
        <w:t xml:space="preserve"> per hour; that is </w:t>
      </w:r>
      <w:r w:rsidRPr="00240B21">
        <w:rPr>
          <w:highlight w:val="yellow"/>
        </w:rPr>
        <w:t>$41,600,000</w:t>
      </w:r>
      <w:r>
        <w:t xml:space="preserve"> in annual economic impact to the repair station community (not calculating required overhead costs such as federal taxes, health benefits and the like). I suspect the number is substantially higher. Using the basic methodology above, if half of all domestic repair stations submit 300 reports per week that boils out to over 31 million reports annually. Again I suspect the number is substantially higher.</w:t>
      </w:r>
    </w:p>
    <w:p w:rsidR="00240B21" w:rsidRDefault="00240B21" w:rsidP="005064C6">
      <w:pPr>
        <w:jc w:val="both"/>
      </w:pPr>
      <w:r>
        <w:t xml:space="preserve">I am surprised that </w:t>
      </w:r>
      <w:r w:rsidR="00EB429E">
        <w:t>the agency removed the word</w:t>
      </w:r>
      <w:r>
        <w:t xml:space="preserve"> after the issue was vetted in a previous rulemaking AND the word was ADDED due to public comment during that process. Equally concerning is the fact that no mention of the potential change was made in the latest </w:t>
      </w:r>
      <w:r w:rsidR="00176D19">
        <w:t>Notice of Proposed Rulemaking (</w:t>
      </w:r>
      <w:proofErr w:type="spellStart"/>
      <w:r>
        <w:t>NPRM</w:t>
      </w:r>
      <w:proofErr w:type="spellEnd"/>
      <w:r w:rsidR="00176D19">
        <w:t>)</w:t>
      </w:r>
      <w:r>
        <w:t>, thus no chance to comment was afforded and no economic analysis was made regarding this serious change.</w:t>
      </w:r>
    </w:p>
    <w:p w:rsidR="00240B21" w:rsidRDefault="00240B21" w:rsidP="005064C6">
      <w:pPr>
        <w:jc w:val="both"/>
      </w:pPr>
      <w:r>
        <w:t xml:space="preserve">The agency’s desire to receive precursors to safety issues through SDR compliance has been eliminated by removing the word “serious” and requiring “all” failures, </w:t>
      </w:r>
      <w:r>
        <w:lastRenderedPageBreak/>
        <w:t xml:space="preserve">malfunctions and defects to be reported. Almost all failures, malfunctions and defects in articles are contemplated, covered and fixed by following acceptable methods, techniques and practices as required by 14 </w:t>
      </w:r>
      <w:proofErr w:type="spellStart"/>
      <w:r>
        <w:t>CFR</w:t>
      </w:r>
      <w:proofErr w:type="spellEnd"/>
      <w:r>
        <w:t xml:space="preserve"> </w:t>
      </w:r>
      <w:r w:rsidR="00176D19" w:rsidRPr="00B6070C">
        <w:rPr>
          <w:rFonts w:cs="Arial"/>
          <w:bCs/>
        </w:rPr>
        <w:t>§</w:t>
      </w:r>
      <w:r w:rsidR="00176D19">
        <w:rPr>
          <w:rFonts w:cs="Arial"/>
          <w:bCs/>
        </w:rPr>
        <w:t xml:space="preserve"> </w:t>
      </w:r>
      <w:r>
        <w:t>43.13—if the problem is known and can be fixed, the agency certainly does not need information on it—the agency needs information on new or unusual and serious problems that have not been previously addressed and that will have an effect on the continued safe flight and landing of an aircraft.</w:t>
      </w:r>
    </w:p>
    <w:p w:rsidR="00240B21" w:rsidRDefault="00240B21" w:rsidP="005064C6">
      <w:pPr>
        <w:jc w:val="both"/>
      </w:pPr>
      <w:r>
        <w:t>The agency agreed that only serious issues needed to be reported when it attempted to remove the word in an earlier rulemaking procedure. What has made it change its mind? That reasoning has to be vetted through another rulemaking process so the parties directly responsible for compliance can understand and comment on the change.</w:t>
      </w:r>
    </w:p>
    <w:p w:rsidR="00240B21" w:rsidRDefault="00240B21" w:rsidP="005064C6">
      <w:pPr>
        <w:jc w:val="both"/>
      </w:pPr>
      <w:r>
        <w:t>Furthermore, it does not seem the agency’s current system could handle the volume of reports required under the new rule. It cannot possibly have the staffing and other resources necessary to mine the flood of data received for helpful and useful information on precursor</w:t>
      </w:r>
      <w:bookmarkStart w:id="0" w:name="_GoBack"/>
      <w:bookmarkEnd w:id="0"/>
      <w:r>
        <w:t>s to safety issues. Indeed, the agency has internal documents that complain about the current SDR system and how it needs improvement; adding millions of required reports on issues that have already been addressed will not enhance that system.</w:t>
      </w:r>
    </w:p>
    <w:p w:rsidR="00240B21" w:rsidRDefault="00240B21" w:rsidP="005064C6">
      <w:pPr>
        <w:jc w:val="both"/>
      </w:pPr>
      <w:r>
        <w:t xml:space="preserve">For the reasons stated in the associations’ petition and above, we request the agency grant the petition and reinsert the word “serious” in 14 </w:t>
      </w:r>
      <w:proofErr w:type="spellStart"/>
      <w:r>
        <w:t>CFR</w:t>
      </w:r>
      <w:proofErr w:type="spellEnd"/>
      <w:r>
        <w:t xml:space="preserve"> </w:t>
      </w:r>
      <w:r w:rsidR="00176D19" w:rsidRPr="00B6070C">
        <w:rPr>
          <w:rFonts w:cs="Arial"/>
          <w:bCs/>
        </w:rPr>
        <w:t>§</w:t>
      </w:r>
      <w:r w:rsidR="00176D19">
        <w:rPr>
          <w:rFonts w:cs="Arial"/>
          <w:bCs/>
        </w:rPr>
        <w:t xml:space="preserve"> </w:t>
      </w:r>
      <w:r>
        <w:t>145.221(a) on a direct final rule basis.</w:t>
      </w:r>
    </w:p>
    <w:p w:rsidR="003D4166" w:rsidRPr="0011258D" w:rsidRDefault="003D4166" w:rsidP="003D4166">
      <w:pPr>
        <w:rPr>
          <w:rFonts w:cs="Arial"/>
        </w:rPr>
      </w:pPr>
      <w:r>
        <w:rPr>
          <w:rFonts w:cs="Arial"/>
        </w:rPr>
        <w:t>Sincerely,</w:t>
      </w:r>
    </w:p>
    <w:p w:rsidR="003D4166" w:rsidRDefault="003D4166" w:rsidP="003D4166">
      <w:pPr>
        <w:pStyle w:val="NoSpacing"/>
        <w:rPr>
          <w:b/>
        </w:rPr>
      </w:pPr>
      <w:r w:rsidRPr="00176D19">
        <w:rPr>
          <w:b/>
          <w:highlight w:val="yellow"/>
        </w:rPr>
        <w:t>[NAME]</w:t>
      </w:r>
    </w:p>
    <w:p w:rsidR="00DB63FB" w:rsidRPr="00C05EB9" w:rsidRDefault="00DB63FB" w:rsidP="003D4166">
      <w:pPr>
        <w:pStyle w:val="NoSpacing"/>
        <w:rPr>
          <w:b/>
        </w:rPr>
      </w:pPr>
      <w:r w:rsidRPr="00176D19">
        <w:rPr>
          <w:b/>
          <w:highlight w:val="yellow"/>
        </w:rPr>
        <w:t>[TITLE]</w:t>
      </w:r>
    </w:p>
    <w:p w:rsidR="003D4166" w:rsidRDefault="003D4166" w:rsidP="003D4166">
      <w:pPr>
        <w:pStyle w:val="NoSpacing"/>
        <w:rPr>
          <w:rFonts w:cs="Arial"/>
          <w:b/>
          <w:sz w:val="20"/>
          <w:szCs w:val="20"/>
        </w:rPr>
      </w:pPr>
    </w:p>
    <w:p w:rsidR="00240B21" w:rsidRDefault="003D4166" w:rsidP="00DB63FB">
      <w:pPr>
        <w:pStyle w:val="NoSpacing"/>
      </w:pPr>
      <w:r w:rsidRPr="00176D19">
        <w:rPr>
          <w:rFonts w:cs="Arial"/>
          <w:b/>
          <w:highlight w:val="yellow"/>
        </w:rPr>
        <w:t xml:space="preserve">[To file comments go to </w:t>
      </w:r>
      <w:hyperlink r:id="rId8" w:anchor="!documentDetail;D=FAA-2014-0767-0001" w:history="1">
        <w:r w:rsidRPr="00176D19">
          <w:rPr>
            <w:rStyle w:val="Hyperlink"/>
            <w:highlight w:val="yellow"/>
          </w:rPr>
          <w:t>http://www.regulations.gov/#!documentDetail;D=FAA-2014-0767-0001</w:t>
        </w:r>
      </w:hyperlink>
      <w:r w:rsidRPr="00176D19">
        <w:rPr>
          <w:highlight w:val="yellow"/>
        </w:rPr>
        <w:t xml:space="preserve"> </w:t>
      </w:r>
      <w:r w:rsidRPr="00176D19">
        <w:rPr>
          <w:rFonts w:cs="Arial"/>
          <w:b/>
          <w:highlight w:val="yellow"/>
        </w:rPr>
        <w:t>and click the “comment now” button]</w:t>
      </w:r>
    </w:p>
    <w:sectPr w:rsidR="00240B21" w:rsidSect="00240B2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39" w:rsidRDefault="00E25339" w:rsidP="00240B21">
      <w:pPr>
        <w:spacing w:before="0" w:after="0"/>
      </w:pPr>
      <w:r>
        <w:separator/>
      </w:r>
    </w:p>
  </w:endnote>
  <w:endnote w:type="continuationSeparator" w:id="0">
    <w:p w:rsidR="00E25339" w:rsidRDefault="00E25339" w:rsidP="00240B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39" w:rsidRDefault="00E25339" w:rsidP="00240B21">
      <w:pPr>
        <w:spacing w:before="0" w:after="0"/>
      </w:pPr>
      <w:r>
        <w:separator/>
      </w:r>
    </w:p>
  </w:footnote>
  <w:footnote w:type="continuationSeparator" w:id="0">
    <w:p w:rsidR="00E25339" w:rsidRDefault="00E25339" w:rsidP="00240B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75" w:type="dxa"/>
      <w:tblLayout w:type="fixed"/>
      <w:tblCellMar>
        <w:left w:w="115" w:type="dxa"/>
        <w:right w:w="115" w:type="dxa"/>
      </w:tblCellMar>
      <w:tblLook w:val="01E0" w:firstRow="1" w:lastRow="1" w:firstColumn="1" w:lastColumn="1" w:noHBand="0" w:noVBand="0"/>
    </w:tblPr>
    <w:tblGrid>
      <w:gridCol w:w="655"/>
      <w:gridCol w:w="4298"/>
      <w:gridCol w:w="4522"/>
    </w:tblGrid>
    <w:tr w:rsidR="003D4166" w:rsidRPr="0082006E" w:rsidTr="00DB63FB">
      <w:trPr>
        <w:trHeight w:val="281"/>
      </w:trPr>
      <w:tc>
        <w:tcPr>
          <w:tcW w:w="4953" w:type="dxa"/>
          <w:gridSpan w:val="2"/>
        </w:tcPr>
        <w:p w:rsidR="003D4166" w:rsidRPr="0011258D" w:rsidRDefault="003D4166" w:rsidP="00456CE7">
          <w:pPr>
            <w:spacing w:before="0" w:after="0"/>
            <w:rPr>
              <w:rFonts w:cs="Arial"/>
              <w:b/>
            </w:rPr>
          </w:pPr>
          <w:r w:rsidRPr="00176D19">
            <w:rPr>
              <w:rFonts w:cs="Arial"/>
              <w:b/>
              <w:highlight w:val="yellow"/>
            </w:rPr>
            <w:t>[DATE]</w:t>
          </w:r>
        </w:p>
      </w:tc>
      <w:tc>
        <w:tcPr>
          <w:tcW w:w="4522" w:type="dxa"/>
        </w:tcPr>
        <w:p w:rsidR="003D4166" w:rsidRPr="0082006E" w:rsidRDefault="003D4166" w:rsidP="00456CE7">
          <w:pPr>
            <w:spacing w:before="0" w:after="0"/>
            <w:jc w:val="both"/>
            <w:rPr>
              <w:rFonts w:cs="Arial"/>
            </w:rPr>
          </w:pPr>
        </w:p>
      </w:tc>
    </w:tr>
    <w:tr w:rsidR="003D4166" w:rsidRPr="0082006E" w:rsidTr="00DB63FB">
      <w:trPr>
        <w:trHeight w:val="281"/>
      </w:trPr>
      <w:tc>
        <w:tcPr>
          <w:tcW w:w="9475" w:type="dxa"/>
          <w:gridSpan w:val="3"/>
        </w:tcPr>
        <w:p w:rsidR="003D4166" w:rsidRPr="0082006E" w:rsidRDefault="003D4166" w:rsidP="00456CE7">
          <w:pPr>
            <w:spacing w:before="0" w:after="0"/>
            <w:jc w:val="both"/>
            <w:rPr>
              <w:rFonts w:cs="Arial"/>
            </w:rPr>
          </w:pPr>
          <w:r w:rsidRPr="0082006E">
            <w:rPr>
              <w:rFonts w:cs="Arial"/>
            </w:rPr>
            <w:t xml:space="preserve">Page </w:t>
          </w:r>
          <w:r w:rsidRPr="0082006E">
            <w:rPr>
              <w:rFonts w:cs="Arial"/>
            </w:rPr>
            <w:fldChar w:fldCharType="begin"/>
          </w:r>
          <w:r w:rsidRPr="0082006E">
            <w:rPr>
              <w:rFonts w:cs="Arial"/>
            </w:rPr>
            <w:instrText xml:space="preserve"> PAGE   \* MERGEFORMAT </w:instrText>
          </w:r>
          <w:r w:rsidRPr="0082006E">
            <w:rPr>
              <w:rFonts w:cs="Arial"/>
            </w:rPr>
            <w:fldChar w:fldCharType="separate"/>
          </w:r>
          <w:r w:rsidR="00176D19">
            <w:rPr>
              <w:rFonts w:cs="Arial"/>
              <w:noProof/>
            </w:rPr>
            <w:t>2</w:t>
          </w:r>
          <w:r w:rsidRPr="0082006E">
            <w:rPr>
              <w:rFonts w:cs="Arial"/>
              <w:noProof/>
            </w:rPr>
            <w:fldChar w:fldCharType="end"/>
          </w:r>
        </w:p>
      </w:tc>
    </w:tr>
    <w:tr w:rsidR="003D4166" w:rsidRPr="0082006E" w:rsidTr="00DB63FB">
      <w:trPr>
        <w:trHeight w:val="281"/>
      </w:trPr>
      <w:tc>
        <w:tcPr>
          <w:tcW w:w="9475" w:type="dxa"/>
          <w:gridSpan w:val="3"/>
        </w:tcPr>
        <w:p w:rsidR="003D4166" w:rsidRPr="0082006E" w:rsidRDefault="003D4166" w:rsidP="00456CE7">
          <w:pPr>
            <w:spacing w:before="0" w:after="0"/>
            <w:jc w:val="both"/>
            <w:rPr>
              <w:rFonts w:cs="Arial"/>
              <w:u w:val="single"/>
            </w:rPr>
          </w:pPr>
        </w:p>
      </w:tc>
    </w:tr>
    <w:tr w:rsidR="003D4166" w:rsidRPr="0082006E" w:rsidTr="00DB63FB">
      <w:trPr>
        <w:trHeight w:val="281"/>
      </w:trPr>
      <w:tc>
        <w:tcPr>
          <w:tcW w:w="655" w:type="dxa"/>
        </w:tcPr>
        <w:p w:rsidR="003D4166" w:rsidRPr="0082006E" w:rsidRDefault="003D4166" w:rsidP="00456CE7">
          <w:pPr>
            <w:spacing w:before="0" w:after="0"/>
            <w:jc w:val="both"/>
            <w:rPr>
              <w:rFonts w:cs="Arial"/>
            </w:rPr>
          </w:pPr>
          <w:r w:rsidRPr="0082006E">
            <w:rPr>
              <w:rFonts w:cs="Arial"/>
            </w:rPr>
            <w:t>RE:</w:t>
          </w:r>
        </w:p>
      </w:tc>
      <w:tc>
        <w:tcPr>
          <w:tcW w:w="8820" w:type="dxa"/>
          <w:gridSpan w:val="2"/>
        </w:tcPr>
        <w:p w:rsidR="00EB429E" w:rsidRDefault="003D4166" w:rsidP="00456CE7">
          <w:pPr>
            <w:spacing w:before="0" w:after="0"/>
            <w:rPr>
              <w:rFonts w:cs="Arial"/>
              <w:kern w:val="24"/>
            </w:rPr>
          </w:pPr>
          <w:r w:rsidRPr="00C05EB9">
            <w:rPr>
              <w:rFonts w:cs="Arial"/>
              <w:kern w:val="24"/>
            </w:rPr>
            <w:t xml:space="preserve">Comments to </w:t>
          </w:r>
          <w:r w:rsidRPr="00240B21">
            <w:rPr>
              <w:rFonts w:cs="Arial"/>
              <w:kern w:val="24"/>
            </w:rPr>
            <w:t>Petition for Rulem</w:t>
          </w:r>
          <w:r w:rsidR="00EB429E">
            <w:rPr>
              <w:rFonts w:cs="Arial"/>
              <w:kern w:val="24"/>
            </w:rPr>
            <w:t xml:space="preserve">aking on </w:t>
          </w:r>
          <w:r w:rsidR="00176D19">
            <w:t xml:space="preserve">14 </w:t>
          </w:r>
          <w:proofErr w:type="spellStart"/>
          <w:r w:rsidR="00176D19">
            <w:t>CFR</w:t>
          </w:r>
          <w:proofErr w:type="spellEnd"/>
          <w:r w:rsidR="00176D19">
            <w:t xml:space="preserve"> </w:t>
          </w:r>
          <w:r w:rsidR="00176D19" w:rsidRPr="00B6070C">
            <w:rPr>
              <w:rFonts w:cs="Arial"/>
              <w:bCs/>
            </w:rPr>
            <w:t>§</w:t>
          </w:r>
          <w:r w:rsidR="00176D19">
            <w:t>145.221(a)</w:t>
          </w:r>
        </w:p>
        <w:p w:rsidR="003D4166" w:rsidRPr="0082006E" w:rsidRDefault="003D4166" w:rsidP="00456CE7">
          <w:pPr>
            <w:spacing w:before="0" w:after="0"/>
            <w:rPr>
              <w:rFonts w:cs="Arial"/>
            </w:rPr>
          </w:pPr>
          <w:r w:rsidRPr="00C05EB9">
            <w:rPr>
              <w:rFonts w:cs="Arial"/>
              <w:kern w:val="24"/>
            </w:rPr>
            <w:t xml:space="preserve">Docket No. </w:t>
          </w:r>
          <w:r w:rsidRPr="00C05EB9">
            <w:rPr>
              <w:rFonts w:cs="Arial"/>
            </w:rPr>
            <w:t>FAA-</w:t>
          </w:r>
          <w:r w:rsidRPr="00240B21">
            <w:rPr>
              <w:rFonts w:cs="Arial"/>
            </w:rPr>
            <w:t>2014-0767-0001</w:t>
          </w:r>
        </w:p>
      </w:tc>
    </w:tr>
  </w:tbl>
  <w:p w:rsidR="00240B21" w:rsidRPr="00240B21" w:rsidRDefault="00240B21" w:rsidP="00DB63FB">
    <w:pPr>
      <w:spacing w:before="0" w:after="0"/>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21" w:rsidRPr="00240B21" w:rsidRDefault="00240B21" w:rsidP="00240B21">
    <w:pPr>
      <w:jc w:val="center"/>
      <w:rPr>
        <w:rFonts w:cs="Arial"/>
        <w:b/>
      </w:rPr>
    </w:pPr>
    <w:r w:rsidRPr="00176D19">
      <w:rPr>
        <w:rFonts w:cs="Arial"/>
        <w:b/>
        <w:highlight w:val="yellow"/>
      </w:rPr>
      <w:t>[COMPANY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21"/>
    <w:rsid w:val="000615B3"/>
    <w:rsid w:val="00084421"/>
    <w:rsid w:val="000B0904"/>
    <w:rsid w:val="001418D7"/>
    <w:rsid w:val="001456FA"/>
    <w:rsid w:val="00176405"/>
    <w:rsid w:val="00176D19"/>
    <w:rsid w:val="001C6848"/>
    <w:rsid w:val="001E455D"/>
    <w:rsid w:val="001F3FC5"/>
    <w:rsid w:val="00240B21"/>
    <w:rsid w:val="002D1A1D"/>
    <w:rsid w:val="002D5EC3"/>
    <w:rsid w:val="002F1D1F"/>
    <w:rsid w:val="002F6231"/>
    <w:rsid w:val="003051F2"/>
    <w:rsid w:val="003962AE"/>
    <w:rsid w:val="003A550C"/>
    <w:rsid w:val="003C7875"/>
    <w:rsid w:val="003D4166"/>
    <w:rsid w:val="005064C6"/>
    <w:rsid w:val="00576531"/>
    <w:rsid w:val="005C0660"/>
    <w:rsid w:val="005C2F9B"/>
    <w:rsid w:val="005D37A9"/>
    <w:rsid w:val="005E2E02"/>
    <w:rsid w:val="005F6DAF"/>
    <w:rsid w:val="006714A9"/>
    <w:rsid w:val="00691029"/>
    <w:rsid w:val="006D3947"/>
    <w:rsid w:val="007014EC"/>
    <w:rsid w:val="00714B11"/>
    <w:rsid w:val="00726217"/>
    <w:rsid w:val="0074084E"/>
    <w:rsid w:val="00794D09"/>
    <w:rsid w:val="007A3EEA"/>
    <w:rsid w:val="008046B2"/>
    <w:rsid w:val="00862D63"/>
    <w:rsid w:val="00871F8B"/>
    <w:rsid w:val="0087740F"/>
    <w:rsid w:val="008D1181"/>
    <w:rsid w:val="00907F64"/>
    <w:rsid w:val="009554D6"/>
    <w:rsid w:val="009B2C72"/>
    <w:rsid w:val="00B226C5"/>
    <w:rsid w:val="00B6070C"/>
    <w:rsid w:val="00B8440E"/>
    <w:rsid w:val="00BC1DB8"/>
    <w:rsid w:val="00BE61F1"/>
    <w:rsid w:val="00C126E3"/>
    <w:rsid w:val="00C77DB0"/>
    <w:rsid w:val="00CB0899"/>
    <w:rsid w:val="00CB66F9"/>
    <w:rsid w:val="00CB7B76"/>
    <w:rsid w:val="00CD2988"/>
    <w:rsid w:val="00CE5640"/>
    <w:rsid w:val="00D16594"/>
    <w:rsid w:val="00D27EE5"/>
    <w:rsid w:val="00D40483"/>
    <w:rsid w:val="00D6789B"/>
    <w:rsid w:val="00D72856"/>
    <w:rsid w:val="00D873FA"/>
    <w:rsid w:val="00DB63FB"/>
    <w:rsid w:val="00DF22D5"/>
    <w:rsid w:val="00E25339"/>
    <w:rsid w:val="00E32FF9"/>
    <w:rsid w:val="00E455B2"/>
    <w:rsid w:val="00E47DC0"/>
    <w:rsid w:val="00E5140E"/>
    <w:rsid w:val="00EB1A49"/>
    <w:rsid w:val="00EB429E"/>
    <w:rsid w:val="00F40ABD"/>
    <w:rsid w:val="00FD3488"/>
    <w:rsid w:val="00FE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21"/>
    <w:pPr>
      <w:spacing w:before="240" w:after="24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B607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B21"/>
    <w:rPr>
      <w:color w:val="0000FF" w:themeColor="hyperlink"/>
      <w:u w:val="single"/>
    </w:rPr>
  </w:style>
  <w:style w:type="paragraph" w:styleId="Header">
    <w:name w:val="header"/>
    <w:basedOn w:val="Normal"/>
    <w:link w:val="HeaderChar"/>
    <w:uiPriority w:val="99"/>
    <w:unhideWhenUsed/>
    <w:rsid w:val="00240B21"/>
    <w:pPr>
      <w:tabs>
        <w:tab w:val="center" w:pos="4680"/>
        <w:tab w:val="right" w:pos="9360"/>
      </w:tabs>
      <w:spacing w:before="0" w:after="0"/>
    </w:pPr>
  </w:style>
  <w:style w:type="character" w:customStyle="1" w:styleId="HeaderChar">
    <w:name w:val="Header Char"/>
    <w:basedOn w:val="DefaultParagraphFont"/>
    <w:link w:val="Header"/>
    <w:uiPriority w:val="99"/>
    <w:rsid w:val="00240B21"/>
    <w:rPr>
      <w:rFonts w:ascii="Arial" w:eastAsia="Times New Roman" w:hAnsi="Arial" w:cs="Times New Roman"/>
      <w:sz w:val="24"/>
      <w:szCs w:val="24"/>
    </w:rPr>
  </w:style>
  <w:style w:type="paragraph" w:styleId="Footer">
    <w:name w:val="footer"/>
    <w:basedOn w:val="Normal"/>
    <w:link w:val="FooterChar"/>
    <w:uiPriority w:val="99"/>
    <w:unhideWhenUsed/>
    <w:rsid w:val="00240B21"/>
    <w:pPr>
      <w:tabs>
        <w:tab w:val="center" w:pos="4680"/>
        <w:tab w:val="right" w:pos="9360"/>
      </w:tabs>
      <w:spacing w:before="0" w:after="0"/>
    </w:pPr>
  </w:style>
  <w:style w:type="character" w:customStyle="1" w:styleId="FooterChar">
    <w:name w:val="Footer Char"/>
    <w:basedOn w:val="DefaultParagraphFont"/>
    <w:link w:val="Footer"/>
    <w:uiPriority w:val="99"/>
    <w:rsid w:val="00240B21"/>
    <w:rPr>
      <w:rFonts w:ascii="Arial" w:eastAsia="Times New Roman" w:hAnsi="Arial" w:cs="Times New Roman"/>
      <w:sz w:val="24"/>
      <w:szCs w:val="24"/>
    </w:rPr>
  </w:style>
  <w:style w:type="paragraph" w:styleId="NoSpacing">
    <w:name w:val="No Spacing"/>
    <w:uiPriority w:val="1"/>
    <w:qFormat/>
    <w:rsid w:val="003D416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B429E"/>
    <w:rPr>
      <w:sz w:val="16"/>
      <w:szCs w:val="16"/>
    </w:rPr>
  </w:style>
  <w:style w:type="paragraph" w:styleId="CommentText">
    <w:name w:val="annotation text"/>
    <w:basedOn w:val="Normal"/>
    <w:link w:val="CommentTextChar"/>
    <w:uiPriority w:val="99"/>
    <w:semiHidden/>
    <w:unhideWhenUsed/>
    <w:rsid w:val="00EB429E"/>
    <w:rPr>
      <w:sz w:val="20"/>
      <w:szCs w:val="20"/>
    </w:rPr>
  </w:style>
  <w:style w:type="character" w:customStyle="1" w:styleId="CommentTextChar">
    <w:name w:val="Comment Text Char"/>
    <w:basedOn w:val="DefaultParagraphFont"/>
    <w:link w:val="CommentText"/>
    <w:uiPriority w:val="99"/>
    <w:semiHidden/>
    <w:rsid w:val="00EB429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429E"/>
    <w:rPr>
      <w:b/>
      <w:bCs/>
    </w:rPr>
  </w:style>
  <w:style w:type="character" w:customStyle="1" w:styleId="CommentSubjectChar">
    <w:name w:val="Comment Subject Char"/>
    <w:basedOn w:val="CommentTextChar"/>
    <w:link w:val="CommentSubject"/>
    <w:uiPriority w:val="99"/>
    <w:semiHidden/>
    <w:rsid w:val="00EB429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B42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9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6070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21"/>
    <w:pPr>
      <w:spacing w:before="240" w:after="24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B607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B21"/>
    <w:rPr>
      <w:color w:val="0000FF" w:themeColor="hyperlink"/>
      <w:u w:val="single"/>
    </w:rPr>
  </w:style>
  <w:style w:type="paragraph" w:styleId="Header">
    <w:name w:val="header"/>
    <w:basedOn w:val="Normal"/>
    <w:link w:val="HeaderChar"/>
    <w:uiPriority w:val="99"/>
    <w:unhideWhenUsed/>
    <w:rsid w:val="00240B21"/>
    <w:pPr>
      <w:tabs>
        <w:tab w:val="center" w:pos="4680"/>
        <w:tab w:val="right" w:pos="9360"/>
      </w:tabs>
      <w:spacing w:before="0" w:after="0"/>
    </w:pPr>
  </w:style>
  <w:style w:type="character" w:customStyle="1" w:styleId="HeaderChar">
    <w:name w:val="Header Char"/>
    <w:basedOn w:val="DefaultParagraphFont"/>
    <w:link w:val="Header"/>
    <w:uiPriority w:val="99"/>
    <w:rsid w:val="00240B21"/>
    <w:rPr>
      <w:rFonts w:ascii="Arial" w:eastAsia="Times New Roman" w:hAnsi="Arial" w:cs="Times New Roman"/>
      <w:sz w:val="24"/>
      <w:szCs w:val="24"/>
    </w:rPr>
  </w:style>
  <w:style w:type="paragraph" w:styleId="Footer">
    <w:name w:val="footer"/>
    <w:basedOn w:val="Normal"/>
    <w:link w:val="FooterChar"/>
    <w:uiPriority w:val="99"/>
    <w:unhideWhenUsed/>
    <w:rsid w:val="00240B21"/>
    <w:pPr>
      <w:tabs>
        <w:tab w:val="center" w:pos="4680"/>
        <w:tab w:val="right" w:pos="9360"/>
      </w:tabs>
      <w:spacing w:before="0" w:after="0"/>
    </w:pPr>
  </w:style>
  <w:style w:type="character" w:customStyle="1" w:styleId="FooterChar">
    <w:name w:val="Footer Char"/>
    <w:basedOn w:val="DefaultParagraphFont"/>
    <w:link w:val="Footer"/>
    <w:uiPriority w:val="99"/>
    <w:rsid w:val="00240B21"/>
    <w:rPr>
      <w:rFonts w:ascii="Arial" w:eastAsia="Times New Roman" w:hAnsi="Arial" w:cs="Times New Roman"/>
      <w:sz w:val="24"/>
      <w:szCs w:val="24"/>
    </w:rPr>
  </w:style>
  <w:style w:type="paragraph" w:styleId="NoSpacing">
    <w:name w:val="No Spacing"/>
    <w:uiPriority w:val="1"/>
    <w:qFormat/>
    <w:rsid w:val="003D416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B429E"/>
    <w:rPr>
      <w:sz w:val="16"/>
      <w:szCs w:val="16"/>
    </w:rPr>
  </w:style>
  <w:style w:type="paragraph" w:styleId="CommentText">
    <w:name w:val="annotation text"/>
    <w:basedOn w:val="Normal"/>
    <w:link w:val="CommentTextChar"/>
    <w:uiPriority w:val="99"/>
    <w:semiHidden/>
    <w:unhideWhenUsed/>
    <w:rsid w:val="00EB429E"/>
    <w:rPr>
      <w:sz w:val="20"/>
      <w:szCs w:val="20"/>
    </w:rPr>
  </w:style>
  <w:style w:type="character" w:customStyle="1" w:styleId="CommentTextChar">
    <w:name w:val="Comment Text Char"/>
    <w:basedOn w:val="DefaultParagraphFont"/>
    <w:link w:val="CommentText"/>
    <w:uiPriority w:val="99"/>
    <w:semiHidden/>
    <w:rsid w:val="00EB429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429E"/>
    <w:rPr>
      <w:b/>
      <w:bCs/>
    </w:rPr>
  </w:style>
  <w:style w:type="character" w:customStyle="1" w:styleId="CommentSubjectChar">
    <w:name w:val="Comment Subject Char"/>
    <w:basedOn w:val="CommentTextChar"/>
    <w:link w:val="CommentSubject"/>
    <w:uiPriority w:val="99"/>
    <w:semiHidden/>
    <w:rsid w:val="00EB429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B42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9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6070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735">
      <w:bodyDiv w:val="1"/>
      <w:marLeft w:val="0"/>
      <w:marRight w:val="0"/>
      <w:marTop w:val="0"/>
      <w:marBottom w:val="0"/>
      <w:divBdr>
        <w:top w:val="none" w:sz="0" w:space="0" w:color="auto"/>
        <w:left w:val="none" w:sz="0" w:space="0" w:color="auto"/>
        <w:bottom w:val="none" w:sz="0" w:space="0" w:color="auto"/>
        <w:right w:val="none" w:sz="0" w:space="0" w:color="auto"/>
      </w:divBdr>
    </w:div>
    <w:div w:id="1098065044">
      <w:bodyDiv w:val="1"/>
      <w:marLeft w:val="0"/>
      <w:marRight w:val="0"/>
      <w:marTop w:val="0"/>
      <w:marBottom w:val="0"/>
      <w:divBdr>
        <w:top w:val="none" w:sz="0" w:space="0" w:color="auto"/>
        <w:left w:val="none" w:sz="0" w:space="0" w:color="auto"/>
        <w:bottom w:val="none" w:sz="0" w:space="0" w:color="auto"/>
        <w:right w:val="none" w:sz="0" w:space="0" w:color="auto"/>
      </w:divBdr>
    </w:div>
    <w:div w:id="15821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Vlieg</dc:creator>
  <cp:lastModifiedBy>Brett Levanto</cp:lastModifiedBy>
  <cp:revision>4</cp:revision>
  <dcterms:created xsi:type="dcterms:W3CDTF">2014-10-09T19:03:00Z</dcterms:created>
  <dcterms:modified xsi:type="dcterms:W3CDTF">2014-10-09T19:33:00Z</dcterms:modified>
</cp:coreProperties>
</file>