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33B" w:rsidRPr="008462E2" w:rsidRDefault="008462E2" w:rsidP="008462E2">
      <w:pPr>
        <w:spacing w:after="120" w:line="240" w:lineRule="auto"/>
        <w:jc w:val="both"/>
        <w:rPr>
          <w:sz w:val="20"/>
          <w:szCs w:val="20"/>
        </w:rPr>
      </w:pPr>
      <w:r w:rsidRPr="008462E2">
        <w:rPr>
          <w:sz w:val="20"/>
          <w:szCs w:val="20"/>
        </w:rPr>
        <w:t>F</w:t>
      </w:r>
      <w:r w:rsidR="00530179" w:rsidRPr="008462E2">
        <w:rPr>
          <w:sz w:val="20"/>
          <w:szCs w:val="20"/>
        </w:rPr>
        <w:t xml:space="preserve">or current ARSA’s Model EASA Supplement holders, use this document to update your manual. It is being provided instead of an entire new </w:t>
      </w:r>
      <w:r w:rsidR="004567D5" w:rsidRPr="008462E2">
        <w:rPr>
          <w:sz w:val="20"/>
          <w:szCs w:val="20"/>
        </w:rPr>
        <w:t>model supplement</w:t>
      </w:r>
      <w:r w:rsidR="00530179" w:rsidRPr="008462E2">
        <w:rPr>
          <w:sz w:val="20"/>
          <w:szCs w:val="20"/>
        </w:rPr>
        <w:t xml:space="preserve"> because the changes to the ARSA documents will not be consistent with the changes you may have made.</w:t>
      </w:r>
    </w:p>
    <w:tbl>
      <w:tblPr>
        <w:tblW w:w="145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88"/>
        <w:gridCol w:w="1800"/>
        <w:gridCol w:w="1710"/>
        <w:gridCol w:w="9810"/>
      </w:tblGrid>
      <w:tr w:rsidR="00702A16" w:rsidRPr="007F5242" w:rsidTr="007F5242">
        <w:trPr>
          <w:trHeight w:val="620"/>
          <w:tblHeader/>
        </w:trPr>
        <w:tc>
          <w:tcPr>
            <w:tcW w:w="1188" w:type="dxa"/>
            <w:shd w:val="clear" w:color="auto" w:fill="auto"/>
            <w:vAlign w:val="bottom"/>
          </w:tcPr>
          <w:p w:rsidR="00702A16" w:rsidRPr="007F5242" w:rsidRDefault="00702A16" w:rsidP="005A7C96">
            <w:pPr>
              <w:pStyle w:val="TableHeading"/>
              <w:spacing w:after="60"/>
              <w:rPr>
                <w:rFonts w:ascii="Arial" w:hAnsi="Arial" w:cs="Arial"/>
              </w:rPr>
            </w:pPr>
            <w:r w:rsidRPr="007F5242">
              <w:rPr>
                <w:rFonts w:ascii="Arial" w:hAnsi="Arial" w:cs="Arial"/>
              </w:rPr>
              <w:t>Revision Number</w:t>
            </w:r>
          </w:p>
        </w:tc>
        <w:tc>
          <w:tcPr>
            <w:tcW w:w="1800" w:type="dxa"/>
            <w:shd w:val="clear" w:color="auto" w:fill="auto"/>
            <w:vAlign w:val="bottom"/>
          </w:tcPr>
          <w:p w:rsidR="00702A16" w:rsidRPr="007F5242" w:rsidRDefault="00702A16" w:rsidP="005A7C96">
            <w:pPr>
              <w:pStyle w:val="TableHeading"/>
              <w:spacing w:after="60"/>
              <w:rPr>
                <w:rFonts w:ascii="Arial" w:hAnsi="Arial" w:cs="Arial"/>
              </w:rPr>
            </w:pPr>
            <w:r w:rsidRPr="007F5242">
              <w:rPr>
                <w:rFonts w:ascii="Arial" w:hAnsi="Arial" w:cs="Arial"/>
              </w:rPr>
              <w:t>Revision Date</w:t>
            </w:r>
          </w:p>
        </w:tc>
        <w:tc>
          <w:tcPr>
            <w:tcW w:w="1710" w:type="dxa"/>
            <w:shd w:val="clear" w:color="auto" w:fill="auto"/>
            <w:vAlign w:val="bottom"/>
          </w:tcPr>
          <w:p w:rsidR="00702A16" w:rsidRPr="007F5242" w:rsidRDefault="00702A16" w:rsidP="005A7C96">
            <w:pPr>
              <w:pStyle w:val="TableHeading"/>
              <w:spacing w:after="60"/>
              <w:rPr>
                <w:rFonts w:ascii="Arial" w:hAnsi="Arial" w:cs="Arial"/>
              </w:rPr>
            </w:pPr>
            <w:r w:rsidRPr="007F5242">
              <w:rPr>
                <w:rFonts w:ascii="Arial" w:hAnsi="Arial" w:cs="Arial"/>
              </w:rPr>
              <w:t>Paragraph(s) Affected</w:t>
            </w:r>
          </w:p>
        </w:tc>
        <w:tc>
          <w:tcPr>
            <w:tcW w:w="9810" w:type="dxa"/>
            <w:shd w:val="clear" w:color="auto" w:fill="auto"/>
            <w:vAlign w:val="bottom"/>
          </w:tcPr>
          <w:p w:rsidR="00702A16" w:rsidRPr="007F5242" w:rsidRDefault="00702A16" w:rsidP="005A7C96">
            <w:pPr>
              <w:pStyle w:val="TableHeading"/>
              <w:spacing w:after="60"/>
              <w:rPr>
                <w:rFonts w:ascii="Arial" w:hAnsi="Arial" w:cs="Arial"/>
              </w:rPr>
            </w:pPr>
            <w:r w:rsidRPr="007F5242">
              <w:rPr>
                <w:rFonts w:ascii="Arial" w:hAnsi="Arial" w:cs="Arial"/>
              </w:rPr>
              <w:t>Revision Description</w:t>
            </w:r>
          </w:p>
        </w:tc>
      </w:tr>
      <w:tr w:rsidR="00702A16" w:rsidRPr="007F5242" w:rsidTr="007F5242">
        <w:tc>
          <w:tcPr>
            <w:tcW w:w="1188" w:type="dxa"/>
          </w:tcPr>
          <w:p w:rsidR="00702A16" w:rsidRPr="007F5242" w:rsidRDefault="00702A16" w:rsidP="005A7C96">
            <w:pPr>
              <w:spacing w:after="60" w:line="240" w:lineRule="auto"/>
              <w:rPr>
                <w:rFonts w:cs="Arial"/>
                <w:sz w:val="20"/>
                <w:szCs w:val="20"/>
              </w:rPr>
            </w:pPr>
            <w:r w:rsidRPr="007F5242">
              <w:rPr>
                <w:rFonts w:cs="Arial"/>
                <w:sz w:val="20"/>
                <w:szCs w:val="20"/>
              </w:rPr>
              <w:t xml:space="preserve">Original </w:t>
            </w:r>
          </w:p>
        </w:tc>
        <w:tc>
          <w:tcPr>
            <w:tcW w:w="1800" w:type="dxa"/>
          </w:tcPr>
          <w:p w:rsidR="00702A16" w:rsidRPr="007F5242" w:rsidRDefault="00702A16" w:rsidP="005A7C96">
            <w:pPr>
              <w:spacing w:after="60" w:line="240" w:lineRule="auto"/>
              <w:rPr>
                <w:rFonts w:cs="Arial"/>
                <w:sz w:val="20"/>
                <w:szCs w:val="20"/>
              </w:rPr>
            </w:pPr>
            <w:r w:rsidRPr="007F5242">
              <w:rPr>
                <w:rFonts w:cs="Arial"/>
                <w:sz w:val="20"/>
                <w:szCs w:val="20"/>
              </w:rPr>
              <w:t>10/05/2012</w:t>
            </w:r>
          </w:p>
        </w:tc>
        <w:tc>
          <w:tcPr>
            <w:tcW w:w="1710" w:type="dxa"/>
          </w:tcPr>
          <w:p w:rsidR="00702A16" w:rsidRPr="007F5242" w:rsidRDefault="00702A16" w:rsidP="005A7C96">
            <w:pPr>
              <w:spacing w:after="60" w:line="240" w:lineRule="auto"/>
              <w:rPr>
                <w:rFonts w:cs="Arial"/>
                <w:sz w:val="20"/>
                <w:szCs w:val="20"/>
              </w:rPr>
            </w:pPr>
            <w:r w:rsidRPr="007F5242">
              <w:rPr>
                <w:rFonts w:cs="Arial"/>
                <w:sz w:val="20"/>
                <w:szCs w:val="20"/>
              </w:rPr>
              <w:t>ALL</w:t>
            </w:r>
          </w:p>
        </w:tc>
        <w:tc>
          <w:tcPr>
            <w:tcW w:w="9810" w:type="dxa"/>
          </w:tcPr>
          <w:p w:rsidR="00702A16" w:rsidRPr="007F5242" w:rsidRDefault="00702A16" w:rsidP="005A7C96">
            <w:pPr>
              <w:spacing w:after="60" w:line="240" w:lineRule="auto"/>
              <w:jc w:val="both"/>
              <w:rPr>
                <w:rFonts w:cs="Arial"/>
                <w:sz w:val="20"/>
                <w:szCs w:val="20"/>
              </w:rPr>
            </w:pPr>
            <w:r w:rsidRPr="007F5242">
              <w:rPr>
                <w:rFonts w:cs="Arial"/>
                <w:sz w:val="20"/>
                <w:szCs w:val="20"/>
              </w:rPr>
              <w:t>Original Issue</w:t>
            </w:r>
          </w:p>
        </w:tc>
      </w:tr>
      <w:tr w:rsidR="00702A16" w:rsidRPr="007F5242" w:rsidTr="007F5242">
        <w:tc>
          <w:tcPr>
            <w:tcW w:w="1188" w:type="dxa"/>
          </w:tcPr>
          <w:p w:rsidR="00702A16" w:rsidRPr="007F5242" w:rsidRDefault="00702A16" w:rsidP="005A7C96">
            <w:pPr>
              <w:spacing w:after="60" w:line="240" w:lineRule="auto"/>
              <w:rPr>
                <w:rFonts w:cs="Arial"/>
                <w:sz w:val="20"/>
                <w:szCs w:val="20"/>
              </w:rPr>
            </w:pPr>
            <w:r w:rsidRPr="007F5242">
              <w:rPr>
                <w:rFonts w:cs="Arial"/>
                <w:sz w:val="20"/>
                <w:szCs w:val="20"/>
              </w:rPr>
              <w:t>01</w:t>
            </w:r>
          </w:p>
        </w:tc>
        <w:tc>
          <w:tcPr>
            <w:tcW w:w="1800" w:type="dxa"/>
          </w:tcPr>
          <w:p w:rsidR="00702A16" w:rsidRPr="007F5242" w:rsidRDefault="00702A16" w:rsidP="005A7C96">
            <w:pPr>
              <w:spacing w:after="60" w:line="240" w:lineRule="auto"/>
              <w:rPr>
                <w:rFonts w:cs="Arial"/>
                <w:sz w:val="20"/>
                <w:szCs w:val="20"/>
              </w:rPr>
            </w:pPr>
            <w:r w:rsidRPr="007F5242">
              <w:rPr>
                <w:rFonts w:cs="Arial"/>
                <w:sz w:val="20"/>
                <w:szCs w:val="20"/>
              </w:rPr>
              <w:t>04/16/2014</w:t>
            </w:r>
          </w:p>
        </w:tc>
        <w:tc>
          <w:tcPr>
            <w:tcW w:w="1710" w:type="dxa"/>
          </w:tcPr>
          <w:p w:rsidR="00702A16" w:rsidRPr="007F5242" w:rsidRDefault="00702A16" w:rsidP="005A7C96">
            <w:pPr>
              <w:spacing w:after="60" w:line="240" w:lineRule="auto"/>
              <w:rPr>
                <w:rFonts w:cs="Arial"/>
                <w:sz w:val="20"/>
                <w:szCs w:val="20"/>
              </w:rPr>
            </w:pPr>
            <w:r w:rsidRPr="007F5242">
              <w:rPr>
                <w:rFonts w:cs="Arial"/>
                <w:sz w:val="20"/>
                <w:szCs w:val="20"/>
              </w:rPr>
              <w:t>ALL</w:t>
            </w:r>
          </w:p>
        </w:tc>
        <w:tc>
          <w:tcPr>
            <w:tcW w:w="9810" w:type="dxa"/>
          </w:tcPr>
          <w:p w:rsidR="00702A16" w:rsidRPr="007F5242" w:rsidRDefault="00702A16" w:rsidP="005A7C96">
            <w:pPr>
              <w:spacing w:after="60" w:line="240" w:lineRule="auto"/>
              <w:jc w:val="both"/>
              <w:rPr>
                <w:rFonts w:cs="Arial"/>
                <w:sz w:val="20"/>
                <w:szCs w:val="20"/>
              </w:rPr>
            </w:pPr>
            <w:r w:rsidRPr="007F5242">
              <w:rPr>
                <w:rFonts w:cs="Arial"/>
                <w:sz w:val="20"/>
                <w:szCs w:val="20"/>
              </w:rPr>
              <w:t>Updated for general readability and to ensure compliance through MAG Change 4.</w:t>
            </w:r>
          </w:p>
        </w:tc>
      </w:tr>
      <w:tr w:rsidR="00702A16" w:rsidRPr="007F5242" w:rsidTr="007F5242">
        <w:tc>
          <w:tcPr>
            <w:tcW w:w="1188" w:type="dxa"/>
          </w:tcPr>
          <w:p w:rsidR="00702A16" w:rsidRPr="007F5242" w:rsidRDefault="00702A16" w:rsidP="005A7C96">
            <w:pPr>
              <w:spacing w:after="60" w:line="240" w:lineRule="auto"/>
              <w:rPr>
                <w:rFonts w:cs="Arial"/>
                <w:sz w:val="20"/>
                <w:szCs w:val="20"/>
              </w:rPr>
            </w:pPr>
            <w:r w:rsidRPr="007F5242">
              <w:rPr>
                <w:rFonts w:cs="Arial"/>
                <w:sz w:val="20"/>
                <w:szCs w:val="20"/>
              </w:rPr>
              <w:t>01</w:t>
            </w:r>
          </w:p>
        </w:tc>
        <w:tc>
          <w:tcPr>
            <w:tcW w:w="1800" w:type="dxa"/>
          </w:tcPr>
          <w:p w:rsidR="00702A16" w:rsidRPr="007F5242" w:rsidRDefault="00702A16" w:rsidP="005A7C96">
            <w:pPr>
              <w:spacing w:after="60" w:line="240" w:lineRule="auto"/>
              <w:rPr>
                <w:rFonts w:cs="Arial"/>
                <w:sz w:val="20"/>
                <w:szCs w:val="20"/>
              </w:rPr>
            </w:pPr>
            <w:r w:rsidRPr="007F5242">
              <w:rPr>
                <w:rFonts w:cs="Arial"/>
                <w:sz w:val="20"/>
                <w:szCs w:val="20"/>
              </w:rPr>
              <w:t>04/16/2014</w:t>
            </w:r>
          </w:p>
        </w:tc>
        <w:tc>
          <w:tcPr>
            <w:tcW w:w="1710" w:type="dxa"/>
          </w:tcPr>
          <w:p w:rsidR="00702A16" w:rsidRPr="007F5242" w:rsidRDefault="00702A16" w:rsidP="005A7C96">
            <w:pPr>
              <w:spacing w:after="60" w:line="240" w:lineRule="auto"/>
              <w:rPr>
                <w:rFonts w:cs="Arial"/>
                <w:sz w:val="20"/>
                <w:szCs w:val="20"/>
              </w:rPr>
            </w:pPr>
            <w:r w:rsidRPr="007F5242">
              <w:rPr>
                <w:rFonts w:cs="Arial"/>
                <w:sz w:val="20"/>
                <w:szCs w:val="20"/>
              </w:rPr>
              <w:t>ALL</w:t>
            </w:r>
          </w:p>
        </w:tc>
        <w:tc>
          <w:tcPr>
            <w:tcW w:w="9810" w:type="dxa"/>
          </w:tcPr>
          <w:p w:rsidR="00702A16" w:rsidRPr="007F5242" w:rsidRDefault="00702A16" w:rsidP="005A7C96">
            <w:pPr>
              <w:spacing w:after="60" w:line="240" w:lineRule="auto"/>
              <w:jc w:val="both"/>
              <w:rPr>
                <w:rFonts w:cs="Arial"/>
                <w:sz w:val="20"/>
                <w:szCs w:val="20"/>
              </w:rPr>
            </w:pPr>
            <w:r w:rsidRPr="007F5242">
              <w:rPr>
                <w:rFonts w:cs="Arial"/>
                <w:sz w:val="20"/>
                <w:szCs w:val="20"/>
              </w:rPr>
              <w:t>Updated “broken” URLs including links to the EASA website and revised FAA Form 8130-3.</w:t>
            </w:r>
          </w:p>
        </w:tc>
      </w:tr>
      <w:tr w:rsidR="00702A16" w:rsidRPr="007F5242" w:rsidTr="007F5242">
        <w:tc>
          <w:tcPr>
            <w:tcW w:w="1188" w:type="dxa"/>
          </w:tcPr>
          <w:p w:rsidR="00702A16" w:rsidRPr="007F5242" w:rsidRDefault="00702A16" w:rsidP="005A7C96">
            <w:pPr>
              <w:spacing w:after="60" w:line="240" w:lineRule="auto"/>
              <w:rPr>
                <w:rFonts w:cs="Arial"/>
                <w:sz w:val="20"/>
                <w:szCs w:val="20"/>
              </w:rPr>
            </w:pPr>
            <w:r w:rsidRPr="007F5242">
              <w:rPr>
                <w:rFonts w:cs="Arial"/>
                <w:sz w:val="20"/>
                <w:szCs w:val="20"/>
              </w:rPr>
              <w:t>01</w:t>
            </w:r>
          </w:p>
        </w:tc>
        <w:tc>
          <w:tcPr>
            <w:tcW w:w="1800" w:type="dxa"/>
          </w:tcPr>
          <w:p w:rsidR="00702A16" w:rsidRPr="007F5242" w:rsidRDefault="00702A16" w:rsidP="005A7C96">
            <w:pPr>
              <w:spacing w:after="60" w:line="240" w:lineRule="auto"/>
              <w:rPr>
                <w:rFonts w:cs="Arial"/>
                <w:sz w:val="20"/>
                <w:szCs w:val="20"/>
              </w:rPr>
            </w:pPr>
            <w:r w:rsidRPr="007F5242">
              <w:rPr>
                <w:rFonts w:cs="Arial"/>
                <w:sz w:val="20"/>
                <w:szCs w:val="20"/>
              </w:rPr>
              <w:t>04/16/2014</w:t>
            </w:r>
          </w:p>
        </w:tc>
        <w:tc>
          <w:tcPr>
            <w:tcW w:w="1710" w:type="dxa"/>
          </w:tcPr>
          <w:p w:rsidR="00702A16" w:rsidRPr="007F5242" w:rsidRDefault="00702A16" w:rsidP="005A7C96">
            <w:pPr>
              <w:spacing w:after="60" w:line="240" w:lineRule="auto"/>
              <w:rPr>
                <w:rFonts w:cs="Arial"/>
                <w:sz w:val="20"/>
                <w:szCs w:val="20"/>
              </w:rPr>
            </w:pPr>
            <w:r w:rsidRPr="007F5242">
              <w:rPr>
                <w:rFonts w:cs="Arial"/>
                <w:sz w:val="20"/>
                <w:szCs w:val="20"/>
              </w:rPr>
              <w:t>1.2</w:t>
            </w:r>
          </w:p>
        </w:tc>
        <w:tc>
          <w:tcPr>
            <w:tcW w:w="9810" w:type="dxa"/>
          </w:tcPr>
          <w:p w:rsidR="00702A16" w:rsidRPr="007F5242" w:rsidRDefault="00702A16" w:rsidP="005A7C96">
            <w:pPr>
              <w:spacing w:after="60" w:line="240" w:lineRule="auto"/>
              <w:jc w:val="both"/>
              <w:rPr>
                <w:rFonts w:cs="Arial"/>
                <w:sz w:val="20"/>
                <w:szCs w:val="20"/>
              </w:rPr>
            </w:pPr>
            <w:r w:rsidRPr="007F5242">
              <w:rPr>
                <w:rFonts w:cs="Arial"/>
                <w:sz w:val="20"/>
                <w:szCs w:val="20"/>
              </w:rPr>
              <w:t>Added paragraph to address renewal procedure and deadlines and included a statement that a repair station cannot exercise EASA approval privileges after the EASA certificate expires.</w:t>
            </w:r>
          </w:p>
        </w:tc>
      </w:tr>
      <w:tr w:rsidR="00702A16" w:rsidRPr="007F5242" w:rsidTr="007F5242">
        <w:tc>
          <w:tcPr>
            <w:tcW w:w="1188" w:type="dxa"/>
          </w:tcPr>
          <w:p w:rsidR="00702A16" w:rsidRPr="007F5242" w:rsidRDefault="00702A16" w:rsidP="005A7C96">
            <w:pPr>
              <w:spacing w:after="60" w:line="240" w:lineRule="auto"/>
              <w:rPr>
                <w:rFonts w:cs="Arial"/>
                <w:sz w:val="20"/>
                <w:szCs w:val="20"/>
              </w:rPr>
            </w:pPr>
            <w:r w:rsidRPr="007F5242">
              <w:rPr>
                <w:rFonts w:cs="Arial"/>
                <w:sz w:val="20"/>
                <w:szCs w:val="20"/>
              </w:rPr>
              <w:t>01</w:t>
            </w:r>
          </w:p>
        </w:tc>
        <w:tc>
          <w:tcPr>
            <w:tcW w:w="1800" w:type="dxa"/>
          </w:tcPr>
          <w:p w:rsidR="00702A16" w:rsidRPr="007F5242" w:rsidRDefault="00702A16" w:rsidP="005A7C96">
            <w:pPr>
              <w:spacing w:after="60" w:line="240" w:lineRule="auto"/>
              <w:rPr>
                <w:rFonts w:cs="Arial"/>
                <w:sz w:val="20"/>
                <w:szCs w:val="20"/>
              </w:rPr>
            </w:pPr>
            <w:r w:rsidRPr="007F5242">
              <w:rPr>
                <w:rFonts w:cs="Arial"/>
                <w:sz w:val="20"/>
                <w:szCs w:val="20"/>
              </w:rPr>
              <w:t>04/16/2014</w:t>
            </w:r>
          </w:p>
        </w:tc>
        <w:tc>
          <w:tcPr>
            <w:tcW w:w="1710" w:type="dxa"/>
          </w:tcPr>
          <w:p w:rsidR="00702A16" w:rsidRPr="007F5242" w:rsidRDefault="00702A16" w:rsidP="005A7C96">
            <w:pPr>
              <w:spacing w:after="60" w:line="240" w:lineRule="auto"/>
              <w:rPr>
                <w:rFonts w:cs="Arial"/>
                <w:sz w:val="20"/>
                <w:szCs w:val="20"/>
              </w:rPr>
            </w:pPr>
            <w:r w:rsidRPr="007F5242">
              <w:rPr>
                <w:rFonts w:cs="Arial"/>
                <w:sz w:val="20"/>
                <w:szCs w:val="20"/>
              </w:rPr>
              <w:t>1.3</w:t>
            </w:r>
          </w:p>
        </w:tc>
        <w:tc>
          <w:tcPr>
            <w:tcW w:w="9810" w:type="dxa"/>
          </w:tcPr>
          <w:p w:rsidR="00702A16" w:rsidRPr="007F5242" w:rsidRDefault="00702A16" w:rsidP="005A7C96">
            <w:pPr>
              <w:spacing w:after="60" w:line="240" w:lineRule="auto"/>
              <w:jc w:val="both"/>
              <w:rPr>
                <w:rFonts w:cs="Arial"/>
                <w:sz w:val="20"/>
                <w:szCs w:val="20"/>
              </w:rPr>
            </w:pPr>
            <w:r w:rsidRPr="007F5242">
              <w:rPr>
                <w:rFonts w:cs="Arial"/>
                <w:sz w:val="20"/>
                <w:szCs w:val="20"/>
              </w:rPr>
              <w:t>Added a statement that MAG changes must be implemented within 90 days of the revision publication date.</w:t>
            </w:r>
          </w:p>
        </w:tc>
      </w:tr>
      <w:tr w:rsidR="00702A16" w:rsidRPr="007F5242" w:rsidTr="007F5242">
        <w:tc>
          <w:tcPr>
            <w:tcW w:w="1188" w:type="dxa"/>
          </w:tcPr>
          <w:p w:rsidR="00702A16" w:rsidRPr="007F5242" w:rsidRDefault="00702A16" w:rsidP="005A7C96">
            <w:pPr>
              <w:spacing w:after="60" w:line="240" w:lineRule="auto"/>
              <w:rPr>
                <w:rFonts w:cs="Arial"/>
                <w:sz w:val="20"/>
                <w:szCs w:val="20"/>
              </w:rPr>
            </w:pPr>
            <w:r w:rsidRPr="007F5242">
              <w:rPr>
                <w:rFonts w:cs="Arial"/>
                <w:sz w:val="20"/>
                <w:szCs w:val="20"/>
              </w:rPr>
              <w:t>01</w:t>
            </w:r>
          </w:p>
        </w:tc>
        <w:tc>
          <w:tcPr>
            <w:tcW w:w="1800" w:type="dxa"/>
          </w:tcPr>
          <w:p w:rsidR="00702A16" w:rsidRPr="007F5242" w:rsidRDefault="00702A16" w:rsidP="005A7C96">
            <w:pPr>
              <w:spacing w:after="60" w:line="240" w:lineRule="auto"/>
              <w:rPr>
                <w:rFonts w:cs="Arial"/>
                <w:sz w:val="20"/>
                <w:szCs w:val="20"/>
              </w:rPr>
            </w:pPr>
            <w:r w:rsidRPr="007F5242">
              <w:rPr>
                <w:rFonts w:cs="Arial"/>
                <w:sz w:val="20"/>
                <w:szCs w:val="20"/>
              </w:rPr>
              <w:t>04/16/2014</w:t>
            </w:r>
          </w:p>
        </w:tc>
        <w:tc>
          <w:tcPr>
            <w:tcW w:w="1710" w:type="dxa"/>
          </w:tcPr>
          <w:p w:rsidR="00702A16" w:rsidRPr="007F5242" w:rsidRDefault="00702A16" w:rsidP="005A7C96">
            <w:pPr>
              <w:spacing w:after="60" w:line="240" w:lineRule="auto"/>
              <w:rPr>
                <w:rFonts w:cs="Arial"/>
                <w:sz w:val="20"/>
                <w:szCs w:val="20"/>
              </w:rPr>
            </w:pPr>
            <w:r w:rsidRPr="007F5242">
              <w:rPr>
                <w:rFonts w:cs="Arial"/>
                <w:sz w:val="20"/>
                <w:szCs w:val="20"/>
              </w:rPr>
              <w:t>2.1.6</w:t>
            </w:r>
          </w:p>
        </w:tc>
        <w:tc>
          <w:tcPr>
            <w:tcW w:w="9810" w:type="dxa"/>
          </w:tcPr>
          <w:p w:rsidR="00702A16" w:rsidRPr="007F5242" w:rsidRDefault="00702A16" w:rsidP="005A7C96">
            <w:pPr>
              <w:spacing w:after="60" w:line="240" w:lineRule="auto"/>
              <w:jc w:val="both"/>
              <w:rPr>
                <w:rFonts w:cs="Arial"/>
                <w:sz w:val="20"/>
                <w:szCs w:val="20"/>
              </w:rPr>
            </w:pPr>
            <w:r w:rsidRPr="007F5242">
              <w:rPr>
                <w:rFonts w:cs="Arial"/>
                <w:sz w:val="20"/>
                <w:szCs w:val="20"/>
              </w:rPr>
              <w:t>Enhanced note to user for working away paragraphs and options including a statement that the procedures are not applicable to line stations.</w:t>
            </w:r>
          </w:p>
        </w:tc>
      </w:tr>
      <w:tr w:rsidR="00702A16" w:rsidRPr="007F5242" w:rsidTr="007F5242">
        <w:tc>
          <w:tcPr>
            <w:tcW w:w="1188" w:type="dxa"/>
          </w:tcPr>
          <w:p w:rsidR="00702A16" w:rsidRPr="007F5242" w:rsidRDefault="00702A16" w:rsidP="005A7C96">
            <w:pPr>
              <w:spacing w:after="60" w:line="240" w:lineRule="auto"/>
              <w:rPr>
                <w:rFonts w:cs="Arial"/>
                <w:sz w:val="20"/>
                <w:szCs w:val="20"/>
              </w:rPr>
            </w:pPr>
            <w:r w:rsidRPr="007F5242">
              <w:rPr>
                <w:rFonts w:cs="Arial"/>
                <w:sz w:val="20"/>
                <w:szCs w:val="20"/>
              </w:rPr>
              <w:t>01</w:t>
            </w:r>
          </w:p>
        </w:tc>
        <w:tc>
          <w:tcPr>
            <w:tcW w:w="1800" w:type="dxa"/>
          </w:tcPr>
          <w:p w:rsidR="00702A16" w:rsidRPr="007F5242" w:rsidRDefault="00702A16" w:rsidP="005A7C96">
            <w:pPr>
              <w:spacing w:after="60" w:line="240" w:lineRule="auto"/>
              <w:rPr>
                <w:rFonts w:cs="Arial"/>
                <w:sz w:val="20"/>
                <w:szCs w:val="20"/>
              </w:rPr>
            </w:pPr>
            <w:r w:rsidRPr="007F5242">
              <w:rPr>
                <w:rFonts w:cs="Arial"/>
                <w:sz w:val="20"/>
                <w:szCs w:val="20"/>
              </w:rPr>
              <w:t>04/16/2014</w:t>
            </w:r>
          </w:p>
        </w:tc>
        <w:tc>
          <w:tcPr>
            <w:tcW w:w="1710" w:type="dxa"/>
          </w:tcPr>
          <w:p w:rsidR="00702A16" w:rsidRPr="007F5242" w:rsidRDefault="00702A16" w:rsidP="005A7C96">
            <w:pPr>
              <w:spacing w:after="60" w:line="240" w:lineRule="auto"/>
              <w:rPr>
                <w:rFonts w:cs="Arial"/>
                <w:sz w:val="20"/>
                <w:szCs w:val="20"/>
              </w:rPr>
            </w:pPr>
            <w:r w:rsidRPr="007F5242">
              <w:rPr>
                <w:rFonts w:cs="Arial"/>
                <w:sz w:val="20"/>
                <w:szCs w:val="20"/>
              </w:rPr>
              <w:t>2.1.5</w:t>
            </w:r>
          </w:p>
        </w:tc>
        <w:tc>
          <w:tcPr>
            <w:tcW w:w="9810" w:type="dxa"/>
          </w:tcPr>
          <w:p w:rsidR="00702A16" w:rsidRPr="007F5242" w:rsidRDefault="00702A16" w:rsidP="005A7C96">
            <w:pPr>
              <w:spacing w:after="60" w:line="240" w:lineRule="auto"/>
              <w:jc w:val="both"/>
              <w:rPr>
                <w:rFonts w:cs="Arial"/>
                <w:sz w:val="20"/>
                <w:szCs w:val="20"/>
              </w:rPr>
            </w:pPr>
            <w:r w:rsidRPr="007F5242">
              <w:rPr>
                <w:rFonts w:cs="Arial"/>
                <w:sz w:val="20"/>
                <w:szCs w:val="20"/>
              </w:rPr>
              <w:t>Revised line maintenance section to include FAA authorized line maintenance locations (stations) under the EASA certificate (excluding those located in EU member states as listed in the Safety Agreement, Appendix 2, Annex 2) and enhanced note to user.</w:t>
            </w:r>
          </w:p>
        </w:tc>
      </w:tr>
      <w:tr w:rsidR="00702A16" w:rsidRPr="007F5242" w:rsidTr="007F5242">
        <w:tc>
          <w:tcPr>
            <w:tcW w:w="1188" w:type="dxa"/>
          </w:tcPr>
          <w:p w:rsidR="00702A16" w:rsidRPr="007F5242" w:rsidRDefault="00702A16" w:rsidP="005A7C96">
            <w:pPr>
              <w:spacing w:after="60" w:line="240" w:lineRule="auto"/>
              <w:rPr>
                <w:rFonts w:cs="Arial"/>
                <w:sz w:val="20"/>
                <w:szCs w:val="20"/>
              </w:rPr>
            </w:pPr>
            <w:r w:rsidRPr="007F5242">
              <w:rPr>
                <w:rFonts w:cs="Arial"/>
                <w:sz w:val="20"/>
                <w:szCs w:val="20"/>
              </w:rPr>
              <w:t>01</w:t>
            </w:r>
          </w:p>
        </w:tc>
        <w:tc>
          <w:tcPr>
            <w:tcW w:w="1800" w:type="dxa"/>
          </w:tcPr>
          <w:p w:rsidR="00702A16" w:rsidRPr="007F5242" w:rsidRDefault="00702A16" w:rsidP="005A7C96">
            <w:pPr>
              <w:spacing w:after="60" w:line="240" w:lineRule="auto"/>
              <w:rPr>
                <w:rFonts w:cs="Arial"/>
                <w:sz w:val="20"/>
                <w:szCs w:val="20"/>
              </w:rPr>
            </w:pPr>
            <w:r w:rsidRPr="007F5242">
              <w:rPr>
                <w:rFonts w:cs="Arial"/>
                <w:sz w:val="20"/>
                <w:szCs w:val="20"/>
              </w:rPr>
              <w:t>04/16/2014</w:t>
            </w:r>
          </w:p>
        </w:tc>
        <w:tc>
          <w:tcPr>
            <w:tcW w:w="1710" w:type="dxa"/>
          </w:tcPr>
          <w:p w:rsidR="00702A16" w:rsidRPr="007F5242" w:rsidRDefault="00702A16" w:rsidP="005A7C96">
            <w:pPr>
              <w:spacing w:after="60" w:line="240" w:lineRule="auto"/>
              <w:rPr>
                <w:rFonts w:cs="Arial"/>
                <w:sz w:val="20"/>
                <w:szCs w:val="20"/>
              </w:rPr>
            </w:pPr>
            <w:r w:rsidRPr="007F5242">
              <w:rPr>
                <w:rFonts w:cs="Arial"/>
                <w:sz w:val="20"/>
                <w:szCs w:val="20"/>
              </w:rPr>
              <w:t>2.3.1</w:t>
            </w:r>
          </w:p>
        </w:tc>
        <w:tc>
          <w:tcPr>
            <w:tcW w:w="9810" w:type="dxa"/>
          </w:tcPr>
          <w:p w:rsidR="00702A16" w:rsidRPr="007F5242" w:rsidRDefault="00702A16" w:rsidP="005A7C96">
            <w:pPr>
              <w:spacing w:after="60" w:line="240" w:lineRule="auto"/>
              <w:jc w:val="both"/>
              <w:rPr>
                <w:rFonts w:cs="Arial"/>
                <w:sz w:val="20"/>
                <w:szCs w:val="20"/>
              </w:rPr>
            </w:pPr>
            <w:r w:rsidRPr="007F5242">
              <w:rPr>
                <w:rFonts w:cs="Arial"/>
                <w:sz w:val="20"/>
                <w:szCs w:val="20"/>
              </w:rPr>
              <w:t>Re-wrote and organized paragraph on components eligible for installation to ensure proper understanding.</w:t>
            </w:r>
          </w:p>
        </w:tc>
      </w:tr>
      <w:tr w:rsidR="00702A16" w:rsidRPr="007F5242" w:rsidTr="007F5242">
        <w:tc>
          <w:tcPr>
            <w:tcW w:w="1188" w:type="dxa"/>
          </w:tcPr>
          <w:p w:rsidR="00702A16" w:rsidRPr="007F5242" w:rsidRDefault="00702A16" w:rsidP="005A7C96">
            <w:pPr>
              <w:spacing w:after="60" w:line="240" w:lineRule="auto"/>
              <w:rPr>
                <w:rFonts w:cs="Arial"/>
                <w:sz w:val="20"/>
                <w:szCs w:val="20"/>
              </w:rPr>
            </w:pPr>
            <w:r w:rsidRPr="007F5242">
              <w:rPr>
                <w:rFonts w:cs="Arial"/>
                <w:sz w:val="20"/>
                <w:szCs w:val="20"/>
              </w:rPr>
              <w:t>01</w:t>
            </w:r>
          </w:p>
        </w:tc>
        <w:tc>
          <w:tcPr>
            <w:tcW w:w="1800" w:type="dxa"/>
          </w:tcPr>
          <w:p w:rsidR="00702A16" w:rsidRPr="007F5242" w:rsidRDefault="00702A16" w:rsidP="005A7C96">
            <w:pPr>
              <w:spacing w:after="60" w:line="240" w:lineRule="auto"/>
              <w:rPr>
                <w:rFonts w:cs="Arial"/>
                <w:sz w:val="20"/>
                <w:szCs w:val="20"/>
              </w:rPr>
            </w:pPr>
            <w:r w:rsidRPr="007F5242">
              <w:rPr>
                <w:rFonts w:cs="Arial"/>
                <w:sz w:val="20"/>
                <w:szCs w:val="20"/>
              </w:rPr>
              <w:t>04/16/2014</w:t>
            </w:r>
          </w:p>
        </w:tc>
        <w:tc>
          <w:tcPr>
            <w:tcW w:w="1710" w:type="dxa"/>
          </w:tcPr>
          <w:p w:rsidR="00702A16" w:rsidRPr="007F5242" w:rsidRDefault="00702A16" w:rsidP="005A7C96">
            <w:pPr>
              <w:spacing w:after="60" w:line="240" w:lineRule="auto"/>
              <w:rPr>
                <w:rFonts w:cs="Arial"/>
                <w:sz w:val="20"/>
                <w:szCs w:val="20"/>
              </w:rPr>
            </w:pPr>
            <w:r w:rsidRPr="007F5242">
              <w:rPr>
                <w:rFonts w:cs="Arial"/>
                <w:sz w:val="20"/>
                <w:szCs w:val="20"/>
              </w:rPr>
              <w:t>2.3.2</w:t>
            </w:r>
          </w:p>
        </w:tc>
        <w:tc>
          <w:tcPr>
            <w:tcW w:w="9810" w:type="dxa"/>
          </w:tcPr>
          <w:p w:rsidR="00702A16" w:rsidRPr="007F5242" w:rsidRDefault="00702A16" w:rsidP="005A7C96">
            <w:pPr>
              <w:spacing w:after="60" w:line="240" w:lineRule="auto"/>
              <w:jc w:val="both"/>
              <w:rPr>
                <w:rFonts w:cs="Arial"/>
                <w:sz w:val="20"/>
                <w:szCs w:val="20"/>
              </w:rPr>
            </w:pPr>
            <w:r w:rsidRPr="007F5242">
              <w:rPr>
                <w:rFonts w:cs="Arial"/>
                <w:sz w:val="20"/>
                <w:szCs w:val="20"/>
              </w:rPr>
              <w:t>Added paragraph to address suspected unapproved parts procedure.</w:t>
            </w:r>
          </w:p>
        </w:tc>
      </w:tr>
      <w:tr w:rsidR="00702A16" w:rsidRPr="007F5242" w:rsidTr="007F5242">
        <w:tc>
          <w:tcPr>
            <w:tcW w:w="1188" w:type="dxa"/>
            <w:shd w:val="clear" w:color="auto" w:fill="auto"/>
          </w:tcPr>
          <w:p w:rsidR="00702A16" w:rsidRPr="007F5242" w:rsidRDefault="00702A16" w:rsidP="005A7C96">
            <w:pPr>
              <w:spacing w:after="60" w:line="240" w:lineRule="auto"/>
              <w:rPr>
                <w:rFonts w:cs="Arial"/>
                <w:sz w:val="20"/>
                <w:szCs w:val="20"/>
              </w:rPr>
            </w:pPr>
            <w:r w:rsidRPr="007F5242">
              <w:rPr>
                <w:rFonts w:cs="Arial"/>
                <w:sz w:val="20"/>
                <w:szCs w:val="20"/>
              </w:rPr>
              <w:t>02</w:t>
            </w:r>
          </w:p>
        </w:tc>
        <w:tc>
          <w:tcPr>
            <w:tcW w:w="1800" w:type="dxa"/>
            <w:shd w:val="clear" w:color="auto" w:fill="auto"/>
          </w:tcPr>
          <w:p w:rsidR="00702A16" w:rsidRPr="007F5242" w:rsidRDefault="00702A16" w:rsidP="005A7C96">
            <w:pPr>
              <w:spacing w:after="60" w:line="240" w:lineRule="auto"/>
              <w:rPr>
                <w:rFonts w:cs="Arial"/>
                <w:sz w:val="20"/>
                <w:szCs w:val="20"/>
              </w:rPr>
            </w:pPr>
            <w:r w:rsidRPr="007F5242">
              <w:rPr>
                <w:rFonts w:cs="Arial"/>
                <w:sz w:val="20"/>
                <w:szCs w:val="20"/>
              </w:rPr>
              <w:t>09/30/2015</w:t>
            </w:r>
          </w:p>
        </w:tc>
        <w:tc>
          <w:tcPr>
            <w:tcW w:w="1710" w:type="dxa"/>
            <w:shd w:val="clear" w:color="auto" w:fill="auto"/>
          </w:tcPr>
          <w:p w:rsidR="00702A16" w:rsidRPr="007F5242" w:rsidRDefault="00702A16" w:rsidP="005A7C96">
            <w:pPr>
              <w:spacing w:after="60" w:line="240" w:lineRule="auto"/>
              <w:rPr>
                <w:rFonts w:cs="Arial"/>
                <w:sz w:val="20"/>
                <w:szCs w:val="20"/>
              </w:rPr>
            </w:pPr>
            <w:r w:rsidRPr="007F5242">
              <w:rPr>
                <w:rFonts w:cs="Arial"/>
                <w:sz w:val="20"/>
                <w:szCs w:val="20"/>
              </w:rPr>
              <w:t>ALL</w:t>
            </w:r>
          </w:p>
        </w:tc>
        <w:tc>
          <w:tcPr>
            <w:tcW w:w="9810" w:type="dxa"/>
            <w:shd w:val="clear" w:color="auto" w:fill="auto"/>
          </w:tcPr>
          <w:p w:rsidR="00702A16" w:rsidRPr="007F5242" w:rsidRDefault="00702A16" w:rsidP="005A7C96">
            <w:pPr>
              <w:spacing w:after="60" w:line="240" w:lineRule="auto"/>
              <w:jc w:val="both"/>
              <w:rPr>
                <w:rFonts w:cs="Arial"/>
                <w:sz w:val="20"/>
                <w:szCs w:val="20"/>
              </w:rPr>
            </w:pPr>
            <w:r w:rsidRPr="007F5242">
              <w:rPr>
                <w:rFonts w:cs="Arial"/>
                <w:sz w:val="20"/>
                <w:szCs w:val="20"/>
              </w:rPr>
              <w:t>Updated for general readability.</w:t>
            </w:r>
          </w:p>
        </w:tc>
      </w:tr>
      <w:tr w:rsidR="00702A16" w:rsidRPr="007F5242" w:rsidTr="007F5242">
        <w:tc>
          <w:tcPr>
            <w:tcW w:w="1188" w:type="dxa"/>
            <w:shd w:val="clear" w:color="auto" w:fill="auto"/>
          </w:tcPr>
          <w:p w:rsidR="00702A16" w:rsidRPr="007F5242" w:rsidRDefault="00702A16" w:rsidP="005A7C96">
            <w:pPr>
              <w:spacing w:after="60" w:line="240" w:lineRule="auto"/>
              <w:rPr>
                <w:rFonts w:cs="Arial"/>
                <w:sz w:val="20"/>
                <w:szCs w:val="20"/>
              </w:rPr>
            </w:pPr>
            <w:r w:rsidRPr="007F5242">
              <w:rPr>
                <w:rFonts w:cs="Arial"/>
                <w:sz w:val="20"/>
                <w:szCs w:val="20"/>
              </w:rPr>
              <w:t>02</w:t>
            </w:r>
          </w:p>
        </w:tc>
        <w:tc>
          <w:tcPr>
            <w:tcW w:w="1800" w:type="dxa"/>
            <w:shd w:val="clear" w:color="auto" w:fill="auto"/>
          </w:tcPr>
          <w:p w:rsidR="00702A16" w:rsidRPr="007F5242" w:rsidRDefault="00702A16" w:rsidP="005A7C96">
            <w:pPr>
              <w:spacing w:after="60" w:line="240" w:lineRule="auto"/>
              <w:rPr>
                <w:rFonts w:cs="Arial"/>
                <w:sz w:val="20"/>
                <w:szCs w:val="20"/>
              </w:rPr>
            </w:pPr>
            <w:r w:rsidRPr="007F5242">
              <w:rPr>
                <w:rFonts w:cs="Arial"/>
                <w:sz w:val="20"/>
                <w:szCs w:val="20"/>
              </w:rPr>
              <w:t>09/30/2015</w:t>
            </w:r>
          </w:p>
        </w:tc>
        <w:tc>
          <w:tcPr>
            <w:tcW w:w="1710" w:type="dxa"/>
            <w:shd w:val="clear" w:color="auto" w:fill="auto"/>
          </w:tcPr>
          <w:p w:rsidR="00702A16" w:rsidRPr="007F5242" w:rsidRDefault="00702A16" w:rsidP="005A7C96">
            <w:pPr>
              <w:spacing w:after="60" w:line="240" w:lineRule="auto"/>
              <w:rPr>
                <w:rFonts w:cs="Arial"/>
                <w:sz w:val="20"/>
                <w:szCs w:val="20"/>
              </w:rPr>
            </w:pPr>
            <w:r w:rsidRPr="007F5242">
              <w:rPr>
                <w:rFonts w:cs="Arial"/>
                <w:sz w:val="20"/>
                <w:szCs w:val="20"/>
              </w:rPr>
              <w:t>1.4</w:t>
            </w:r>
          </w:p>
        </w:tc>
        <w:tc>
          <w:tcPr>
            <w:tcW w:w="9810" w:type="dxa"/>
            <w:shd w:val="clear" w:color="auto" w:fill="auto"/>
          </w:tcPr>
          <w:p w:rsidR="00702A16" w:rsidRPr="007F5242" w:rsidRDefault="00702A16" w:rsidP="005A7C96">
            <w:pPr>
              <w:spacing w:after="60" w:line="240" w:lineRule="auto"/>
              <w:jc w:val="both"/>
              <w:rPr>
                <w:rFonts w:cs="Arial"/>
                <w:sz w:val="20"/>
                <w:szCs w:val="20"/>
              </w:rPr>
            </w:pPr>
            <w:r w:rsidRPr="007F5242">
              <w:rPr>
                <w:rFonts w:cs="Arial"/>
                <w:sz w:val="20"/>
                <w:szCs w:val="20"/>
              </w:rPr>
              <w:t>Added definitions for aviation safety inspector and FAA national coordinator, updated definition of technical agent.</w:t>
            </w:r>
          </w:p>
        </w:tc>
      </w:tr>
      <w:tr w:rsidR="00702A16" w:rsidRPr="007F5242" w:rsidTr="007F5242">
        <w:tc>
          <w:tcPr>
            <w:tcW w:w="1188" w:type="dxa"/>
            <w:shd w:val="clear" w:color="auto" w:fill="auto"/>
          </w:tcPr>
          <w:p w:rsidR="00702A16" w:rsidRPr="007F5242" w:rsidRDefault="00702A16" w:rsidP="005A7C96">
            <w:pPr>
              <w:spacing w:after="60" w:line="240" w:lineRule="auto"/>
              <w:rPr>
                <w:rFonts w:cs="Arial"/>
                <w:sz w:val="20"/>
                <w:szCs w:val="20"/>
              </w:rPr>
            </w:pPr>
            <w:r w:rsidRPr="007F5242">
              <w:rPr>
                <w:rFonts w:cs="Arial"/>
                <w:sz w:val="20"/>
                <w:szCs w:val="20"/>
              </w:rPr>
              <w:t>02</w:t>
            </w:r>
          </w:p>
        </w:tc>
        <w:tc>
          <w:tcPr>
            <w:tcW w:w="1800" w:type="dxa"/>
            <w:shd w:val="clear" w:color="auto" w:fill="auto"/>
          </w:tcPr>
          <w:p w:rsidR="00702A16" w:rsidRPr="007F5242" w:rsidRDefault="00702A16" w:rsidP="005A7C96">
            <w:pPr>
              <w:spacing w:after="60" w:line="240" w:lineRule="auto"/>
              <w:rPr>
                <w:rFonts w:cs="Arial"/>
                <w:sz w:val="20"/>
                <w:szCs w:val="20"/>
              </w:rPr>
            </w:pPr>
            <w:r w:rsidRPr="007F5242">
              <w:rPr>
                <w:rFonts w:cs="Arial"/>
                <w:sz w:val="20"/>
                <w:szCs w:val="20"/>
              </w:rPr>
              <w:t>09/30/2015</w:t>
            </w:r>
          </w:p>
        </w:tc>
        <w:tc>
          <w:tcPr>
            <w:tcW w:w="1710" w:type="dxa"/>
            <w:shd w:val="clear" w:color="auto" w:fill="auto"/>
          </w:tcPr>
          <w:p w:rsidR="00702A16" w:rsidRPr="007F5242" w:rsidRDefault="00702A16" w:rsidP="005A7C96">
            <w:pPr>
              <w:spacing w:after="60" w:line="240" w:lineRule="auto"/>
              <w:rPr>
                <w:rFonts w:cs="Arial"/>
                <w:sz w:val="20"/>
                <w:szCs w:val="20"/>
              </w:rPr>
            </w:pPr>
            <w:r w:rsidRPr="007F5242">
              <w:rPr>
                <w:rFonts w:cs="Arial"/>
                <w:sz w:val="20"/>
                <w:szCs w:val="20"/>
              </w:rPr>
              <w:t>2.3.1</w:t>
            </w:r>
          </w:p>
        </w:tc>
        <w:tc>
          <w:tcPr>
            <w:tcW w:w="9810" w:type="dxa"/>
            <w:shd w:val="clear" w:color="auto" w:fill="auto"/>
          </w:tcPr>
          <w:p w:rsidR="00702A16" w:rsidRPr="007F5242" w:rsidRDefault="00702A16" w:rsidP="005A7C96">
            <w:pPr>
              <w:spacing w:after="60" w:line="240" w:lineRule="auto"/>
              <w:jc w:val="both"/>
              <w:rPr>
                <w:rFonts w:cs="Arial"/>
                <w:sz w:val="20"/>
                <w:szCs w:val="20"/>
              </w:rPr>
            </w:pPr>
            <w:r w:rsidRPr="007F5242">
              <w:rPr>
                <w:rFonts w:cs="Arial"/>
                <w:sz w:val="20"/>
                <w:szCs w:val="20"/>
              </w:rPr>
              <w:t>Revised to ensure compliance with MAG Change 5 parts tagging requirements, i.e., an 8130-3 is required for new components. Updated language regarding documentation required for used components for general readability.</w:t>
            </w:r>
          </w:p>
        </w:tc>
      </w:tr>
      <w:tr w:rsidR="00702A16" w:rsidRPr="007F5242" w:rsidTr="007F5242">
        <w:tc>
          <w:tcPr>
            <w:tcW w:w="1188" w:type="dxa"/>
            <w:shd w:val="clear" w:color="auto" w:fill="auto"/>
          </w:tcPr>
          <w:p w:rsidR="00702A16" w:rsidRPr="007F5242" w:rsidRDefault="00702A16" w:rsidP="005A7C96">
            <w:pPr>
              <w:spacing w:after="60" w:line="240" w:lineRule="auto"/>
              <w:rPr>
                <w:rFonts w:cs="Arial"/>
                <w:sz w:val="20"/>
                <w:szCs w:val="20"/>
              </w:rPr>
            </w:pPr>
            <w:r w:rsidRPr="007F5242">
              <w:rPr>
                <w:rFonts w:cs="Arial"/>
                <w:sz w:val="20"/>
                <w:szCs w:val="20"/>
              </w:rPr>
              <w:t>03</w:t>
            </w:r>
          </w:p>
        </w:tc>
        <w:tc>
          <w:tcPr>
            <w:tcW w:w="1800" w:type="dxa"/>
            <w:shd w:val="clear" w:color="auto" w:fill="auto"/>
          </w:tcPr>
          <w:p w:rsidR="00702A16" w:rsidRPr="007F5242" w:rsidRDefault="00702A16" w:rsidP="005A7C96">
            <w:pPr>
              <w:spacing w:after="60" w:line="240" w:lineRule="auto"/>
              <w:rPr>
                <w:rFonts w:cs="Arial"/>
                <w:sz w:val="20"/>
                <w:szCs w:val="20"/>
              </w:rPr>
            </w:pPr>
            <w:r w:rsidRPr="007F5242">
              <w:rPr>
                <w:rFonts w:cs="Arial"/>
                <w:sz w:val="20"/>
                <w:szCs w:val="20"/>
              </w:rPr>
              <w:t>9/2</w:t>
            </w:r>
            <w:r w:rsidR="005A7C96">
              <w:rPr>
                <w:rFonts w:cs="Arial"/>
                <w:sz w:val="20"/>
                <w:szCs w:val="20"/>
              </w:rPr>
              <w:t>1</w:t>
            </w:r>
            <w:r w:rsidRPr="007F5242">
              <w:rPr>
                <w:rFonts w:cs="Arial"/>
                <w:sz w:val="20"/>
                <w:szCs w:val="20"/>
              </w:rPr>
              <w:t>/2016</w:t>
            </w:r>
          </w:p>
        </w:tc>
        <w:tc>
          <w:tcPr>
            <w:tcW w:w="1710" w:type="dxa"/>
            <w:shd w:val="clear" w:color="auto" w:fill="auto"/>
          </w:tcPr>
          <w:p w:rsidR="00702A16" w:rsidRPr="007F5242" w:rsidRDefault="00702A16" w:rsidP="005A7C96">
            <w:pPr>
              <w:spacing w:after="60" w:line="240" w:lineRule="auto"/>
              <w:rPr>
                <w:rFonts w:cs="Arial"/>
                <w:sz w:val="20"/>
                <w:szCs w:val="20"/>
              </w:rPr>
            </w:pPr>
            <w:r w:rsidRPr="007F5242">
              <w:rPr>
                <w:rFonts w:cs="Arial"/>
                <w:sz w:val="20"/>
                <w:szCs w:val="20"/>
              </w:rPr>
              <w:t>ALL</w:t>
            </w:r>
          </w:p>
        </w:tc>
        <w:tc>
          <w:tcPr>
            <w:tcW w:w="9810" w:type="dxa"/>
            <w:shd w:val="clear" w:color="auto" w:fill="auto"/>
          </w:tcPr>
          <w:p w:rsidR="00702A16" w:rsidRPr="007F5242" w:rsidRDefault="00702A16" w:rsidP="005A7C96">
            <w:pPr>
              <w:spacing w:after="60" w:line="240" w:lineRule="auto"/>
              <w:jc w:val="both"/>
              <w:rPr>
                <w:rFonts w:cs="Arial"/>
                <w:sz w:val="20"/>
                <w:szCs w:val="20"/>
              </w:rPr>
            </w:pPr>
            <w:r w:rsidRPr="007F5242">
              <w:rPr>
                <w:rFonts w:cs="Arial"/>
                <w:sz w:val="20"/>
                <w:szCs w:val="20"/>
              </w:rPr>
              <w:t>Updated to improve readability.</w:t>
            </w:r>
          </w:p>
        </w:tc>
      </w:tr>
      <w:tr w:rsidR="00702A16" w:rsidRPr="007F5242" w:rsidTr="007F5242">
        <w:tc>
          <w:tcPr>
            <w:tcW w:w="1188" w:type="dxa"/>
            <w:shd w:val="clear" w:color="auto" w:fill="auto"/>
          </w:tcPr>
          <w:p w:rsidR="00702A16" w:rsidRPr="007F5242" w:rsidRDefault="00702A16" w:rsidP="005A7C96">
            <w:pPr>
              <w:spacing w:after="60" w:line="240" w:lineRule="auto"/>
              <w:rPr>
                <w:rFonts w:cs="Arial"/>
                <w:sz w:val="20"/>
                <w:szCs w:val="20"/>
              </w:rPr>
            </w:pPr>
            <w:r w:rsidRPr="007F5242">
              <w:rPr>
                <w:rFonts w:cs="Arial"/>
                <w:sz w:val="20"/>
                <w:szCs w:val="20"/>
              </w:rPr>
              <w:t>03</w:t>
            </w:r>
          </w:p>
        </w:tc>
        <w:tc>
          <w:tcPr>
            <w:tcW w:w="1800" w:type="dxa"/>
            <w:shd w:val="clear" w:color="auto" w:fill="auto"/>
          </w:tcPr>
          <w:p w:rsidR="00702A16" w:rsidRPr="007F5242" w:rsidRDefault="00702A16" w:rsidP="005A7C96">
            <w:pPr>
              <w:spacing w:after="60" w:line="240" w:lineRule="auto"/>
              <w:rPr>
                <w:rFonts w:cs="Arial"/>
                <w:sz w:val="20"/>
                <w:szCs w:val="20"/>
              </w:rPr>
            </w:pPr>
            <w:r w:rsidRPr="007F5242">
              <w:rPr>
                <w:rFonts w:cs="Arial"/>
                <w:sz w:val="20"/>
                <w:szCs w:val="20"/>
              </w:rPr>
              <w:t>9/2</w:t>
            </w:r>
            <w:r w:rsidR="005A7C96">
              <w:rPr>
                <w:rFonts w:cs="Arial"/>
                <w:sz w:val="20"/>
                <w:szCs w:val="20"/>
              </w:rPr>
              <w:t>1</w:t>
            </w:r>
            <w:r w:rsidRPr="007F5242">
              <w:rPr>
                <w:rFonts w:cs="Arial"/>
                <w:sz w:val="20"/>
                <w:szCs w:val="20"/>
              </w:rPr>
              <w:t>/2016</w:t>
            </w:r>
          </w:p>
        </w:tc>
        <w:tc>
          <w:tcPr>
            <w:tcW w:w="1710" w:type="dxa"/>
            <w:shd w:val="clear" w:color="auto" w:fill="auto"/>
          </w:tcPr>
          <w:p w:rsidR="00702A16" w:rsidRPr="007F5242" w:rsidRDefault="00702A16" w:rsidP="005A7C96">
            <w:pPr>
              <w:spacing w:after="60" w:line="240" w:lineRule="auto"/>
              <w:rPr>
                <w:rFonts w:cs="Arial"/>
                <w:sz w:val="20"/>
                <w:szCs w:val="20"/>
              </w:rPr>
            </w:pPr>
            <w:r w:rsidRPr="007F5242">
              <w:rPr>
                <w:rFonts w:cs="Arial"/>
                <w:sz w:val="20"/>
                <w:szCs w:val="20"/>
              </w:rPr>
              <w:t>1.4</w:t>
            </w:r>
          </w:p>
        </w:tc>
        <w:tc>
          <w:tcPr>
            <w:tcW w:w="9810" w:type="dxa"/>
            <w:shd w:val="clear" w:color="auto" w:fill="auto"/>
          </w:tcPr>
          <w:p w:rsidR="00530179" w:rsidRPr="00CB6DA5" w:rsidRDefault="00702A16" w:rsidP="005A7C96">
            <w:pPr>
              <w:spacing w:after="60" w:line="240" w:lineRule="auto"/>
              <w:jc w:val="both"/>
              <w:rPr>
                <w:rFonts w:cs="Arial"/>
                <w:sz w:val="20"/>
                <w:szCs w:val="20"/>
              </w:rPr>
            </w:pPr>
            <w:r w:rsidRPr="00CB6DA5">
              <w:rPr>
                <w:rFonts w:cs="Arial"/>
                <w:sz w:val="20"/>
                <w:szCs w:val="20"/>
              </w:rPr>
              <w:t xml:space="preserve">Added </w:t>
            </w:r>
            <w:r w:rsidR="00530179" w:rsidRPr="00CB6DA5">
              <w:rPr>
                <w:rFonts w:cs="Arial"/>
                <w:sz w:val="20"/>
                <w:szCs w:val="20"/>
              </w:rPr>
              <w:t xml:space="preserve">two </w:t>
            </w:r>
            <w:r w:rsidRPr="00CB6DA5">
              <w:rPr>
                <w:rFonts w:cs="Arial"/>
                <w:sz w:val="20"/>
                <w:szCs w:val="20"/>
              </w:rPr>
              <w:t xml:space="preserve">definitions </w:t>
            </w:r>
            <w:r w:rsidR="00530179" w:rsidRPr="00CB6DA5">
              <w:rPr>
                <w:rFonts w:cs="Arial"/>
                <w:sz w:val="20"/>
                <w:szCs w:val="20"/>
              </w:rPr>
              <w:t>from MAG 5—</w:t>
            </w:r>
          </w:p>
          <w:p w:rsidR="00530179" w:rsidRPr="00CB6DA5" w:rsidRDefault="00702A16" w:rsidP="005A7C96">
            <w:pPr>
              <w:pStyle w:val="ListParagraph"/>
              <w:numPr>
                <w:ilvl w:val="0"/>
                <w:numId w:val="6"/>
              </w:numPr>
              <w:spacing w:after="60" w:line="240" w:lineRule="auto"/>
              <w:jc w:val="both"/>
              <w:rPr>
                <w:rFonts w:cs="Arial"/>
                <w:sz w:val="20"/>
                <w:szCs w:val="20"/>
              </w:rPr>
            </w:pPr>
            <w:r w:rsidRPr="00CB6DA5">
              <w:rPr>
                <w:rFonts w:cs="Arial"/>
                <w:sz w:val="20"/>
                <w:szCs w:val="20"/>
              </w:rPr>
              <w:t>FAA Coordinator (IFO)</w:t>
            </w:r>
            <w:r w:rsidR="00530179" w:rsidRPr="00CB6DA5">
              <w:rPr>
                <w:rFonts w:cs="Arial"/>
                <w:sz w:val="20"/>
                <w:szCs w:val="20"/>
              </w:rPr>
              <w:t>:</w:t>
            </w:r>
          </w:p>
          <w:p w:rsidR="00530179" w:rsidRPr="00CB6DA5" w:rsidRDefault="00530179" w:rsidP="005A7C96">
            <w:pPr>
              <w:spacing w:after="60" w:line="240" w:lineRule="auto"/>
              <w:jc w:val="both"/>
              <w:rPr>
                <w:rFonts w:cs="Arial"/>
                <w:sz w:val="20"/>
                <w:szCs w:val="20"/>
              </w:rPr>
            </w:pPr>
            <w:r w:rsidRPr="00CB6DA5">
              <w:rPr>
                <w:rFonts w:cs="Arial"/>
                <w:color w:val="000000"/>
                <w:sz w:val="20"/>
                <w:szCs w:val="20"/>
              </w:rPr>
              <w:t xml:space="preserve">International Field Office Principal Inspectors assigned oversight responsibilities for repair stations located in a specific country. The FAA Coordinator should establish a line of communication with the appropriate AA representative and FAA representative to coordinate and plan for the transfer of certificates and address any concerns raised by EASA/AA. The FAA Coordinator should ensure all outstanding findings have a corrective action plan agreed upon by the FAA and the AA. If there are any outstanding or pending violations that may </w:t>
            </w:r>
            <w:r w:rsidRPr="00CB6DA5">
              <w:rPr>
                <w:rFonts w:cs="Arial"/>
                <w:color w:val="000000"/>
                <w:sz w:val="20"/>
                <w:szCs w:val="20"/>
              </w:rPr>
              <w:lastRenderedPageBreak/>
              <w:t>result in an enforcement action, the transfer can occur only after the violation is resolved or the JMCB determines otherwise. The FAA Coordinator should arrange for the FAA representative to meet with the AAs to provide an opportunity for the FAA and AA to exchange information. Copies of the current documentation for the AMOs being turned over should include all applicable documents. Additional duties and responsibilities of this position can be found in the current edition of FAA Order 8900.1, Flight Standards Information Management System.</w:t>
            </w:r>
          </w:p>
          <w:p w:rsidR="00702A16" w:rsidRPr="00CB6DA5" w:rsidRDefault="00702A16" w:rsidP="005A7C96">
            <w:pPr>
              <w:pStyle w:val="ListParagraph"/>
              <w:numPr>
                <w:ilvl w:val="0"/>
                <w:numId w:val="6"/>
              </w:numPr>
              <w:spacing w:after="60" w:line="240" w:lineRule="auto"/>
              <w:jc w:val="both"/>
              <w:rPr>
                <w:rFonts w:cs="Arial"/>
                <w:sz w:val="20"/>
                <w:szCs w:val="20"/>
              </w:rPr>
            </w:pPr>
            <w:r w:rsidRPr="00CB6DA5">
              <w:rPr>
                <w:rFonts w:cs="Arial"/>
                <w:sz w:val="20"/>
                <w:szCs w:val="20"/>
              </w:rPr>
              <w:t>Production Approval Holder</w:t>
            </w:r>
            <w:r w:rsidR="00530179" w:rsidRPr="00CB6DA5">
              <w:rPr>
                <w:rFonts w:cs="Arial"/>
                <w:sz w:val="20"/>
                <w:szCs w:val="20"/>
              </w:rPr>
              <w:t>:</w:t>
            </w:r>
          </w:p>
          <w:p w:rsidR="00530179" w:rsidRPr="00CB6DA5" w:rsidRDefault="00530179" w:rsidP="005A7C96">
            <w:pPr>
              <w:spacing w:after="60" w:line="240" w:lineRule="auto"/>
              <w:jc w:val="both"/>
              <w:rPr>
                <w:rFonts w:cs="Arial"/>
                <w:sz w:val="20"/>
                <w:szCs w:val="20"/>
              </w:rPr>
            </w:pPr>
            <w:r w:rsidRPr="00CB6DA5">
              <w:rPr>
                <w:rFonts w:cs="Arial"/>
                <w:color w:val="000000"/>
                <w:sz w:val="20"/>
                <w:szCs w:val="20"/>
              </w:rPr>
              <w:t>For consistency purposes, a PAH in this document refers to EU Production Organizations Approvals (POA), FAA Production Approval Holders (PAH), and Transport Canada Civil Aviation (TCCA) Manufacturer Certificate Holders (MCH).</w:t>
            </w:r>
          </w:p>
        </w:tc>
      </w:tr>
      <w:tr w:rsidR="00C5623C" w:rsidRPr="00C5623C" w:rsidTr="007F5242">
        <w:tc>
          <w:tcPr>
            <w:tcW w:w="1188" w:type="dxa"/>
            <w:shd w:val="clear" w:color="auto" w:fill="auto"/>
          </w:tcPr>
          <w:p w:rsidR="00C5623C" w:rsidRPr="00C5623C" w:rsidRDefault="00C5623C" w:rsidP="005A7C96">
            <w:pPr>
              <w:spacing w:after="60" w:line="240" w:lineRule="auto"/>
              <w:rPr>
                <w:rFonts w:cs="Arial"/>
                <w:sz w:val="20"/>
                <w:szCs w:val="20"/>
              </w:rPr>
            </w:pPr>
          </w:p>
        </w:tc>
        <w:tc>
          <w:tcPr>
            <w:tcW w:w="1800" w:type="dxa"/>
            <w:shd w:val="clear" w:color="auto" w:fill="auto"/>
          </w:tcPr>
          <w:p w:rsidR="00C5623C" w:rsidRPr="00C5623C" w:rsidRDefault="005A7C96" w:rsidP="005A7C96">
            <w:pPr>
              <w:spacing w:after="60" w:line="240" w:lineRule="auto"/>
              <w:rPr>
                <w:rFonts w:cs="Arial"/>
                <w:sz w:val="20"/>
                <w:szCs w:val="20"/>
              </w:rPr>
            </w:pPr>
            <w:r w:rsidRPr="007F5242">
              <w:rPr>
                <w:rFonts w:cs="Arial"/>
                <w:sz w:val="20"/>
                <w:szCs w:val="20"/>
              </w:rPr>
              <w:t>9/2</w:t>
            </w:r>
            <w:r>
              <w:rPr>
                <w:rFonts w:cs="Arial"/>
                <w:sz w:val="20"/>
                <w:szCs w:val="20"/>
              </w:rPr>
              <w:t>1</w:t>
            </w:r>
            <w:r w:rsidRPr="007F5242">
              <w:rPr>
                <w:rFonts w:cs="Arial"/>
                <w:sz w:val="20"/>
                <w:szCs w:val="20"/>
              </w:rPr>
              <w:t>/2016</w:t>
            </w:r>
          </w:p>
        </w:tc>
        <w:tc>
          <w:tcPr>
            <w:tcW w:w="1710" w:type="dxa"/>
            <w:shd w:val="clear" w:color="auto" w:fill="auto"/>
          </w:tcPr>
          <w:p w:rsidR="00C5623C" w:rsidRPr="005A7C96" w:rsidRDefault="00C5623C" w:rsidP="005A7C96">
            <w:pPr>
              <w:pStyle w:val="Heading3"/>
              <w:numPr>
                <w:ilvl w:val="0"/>
                <w:numId w:val="0"/>
              </w:numPr>
              <w:spacing w:after="60"/>
              <w:rPr>
                <w:b w:val="0"/>
              </w:rPr>
            </w:pPr>
            <w:r w:rsidRPr="005A7C96">
              <w:rPr>
                <w:b w:val="0"/>
              </w:rPr>
              <w:t>2.3.1</w:t>
            </w:r>
          </w:p>
          <w:p w:rsidR="00C5623C" w:rsidRPr="00C5623C" w:rsidRDefault="00C5623C" w:rsidP="005A7C96">
            <w:pPr>
              <w:spacing w:after="60" w:line="240" w:lineRule="auto"/>
              <w:rPr>
                <w:rFonts w:cs="Arial"/>
                <w:sz w:val="20"/>
                <w:szCs w:val="20"/>
              </w:rPr>
            </w:pPr>
          </w:p>
        </w:tc>
        <w:tc>
          <w:tcPr>
            <w:tcW w:w="9810" w:type="dxa"/>
            <w:shd w:val="clear" w:color="auto" w:fill="auto"/>
          </w:tcPr>
          <w:p w:rsidR="00C5623C" w:rsidRPr="00C5623C" w:rsidRDefault="00C5623C" w:rsidP="005A7C96">
            <w:pPr>
              <w:pStyle w:val="NotetoUser"/>
              <w:spacing w:after="60"/>
              <w:rPr>
                <w:rFonts w:cs="Arial"/>
              </w:rPr>
            </w:pPr>
            <w:r w:rsidRPr="00C5623C">
              <w:rPr>
                <w:rFonts w:cs="Arial"/>
                <w:b/>
              </w:rPr>
              <w:t>Note to User:</w:t>
            </w:r>
            <w:r w:rsidRPr="00C5623C">
              <w:rPr>
                <w:rFonts w:cs="Arial"/>
              </w:rPr>
              <w:t xml:space="preserve"> This paragraph addresses </w:t>
            </w:r>
            <w:hyperlink r:id="rId8" w:history="1">
              <w:r w:rsidRPr="00C5623C">
                <w:rPr>
                  <w:rStyle w:val="Hyperlink"/>
                </w:rPr>
                <w:t>MAG</w:t>
              </w:r>
            </w:hyperlink>
            <w:r w:rsidRPr="00C5623C">
              <w:rPr>
                <w:rStyle w:val="Hyperlink"/>
              </w:rPr>
              <w:t xml:space="preserve">, Section A, </w:t>
            </w:r>
            <w:r w:rsidRPr="00C5623C">
              <w:rPr>
                <w:rFonts w:cs="Arial"/>
              </w:rPr>
              <w:t xml:space="preserve">Appendix 1, paragraph 10 and </w:t>
            </w:r>
            <w:hyperlink r:id="rId9" w:tgtFrame="_blank" w:history="1">
              <w:r w:rsidRPr="00C5623C">
                <w:rPr>
                  <w:rStyle w:val="Hyperlink"/>
                </w:rPr>
                <w:t>Notice 8900.380</w:t>
              </w:r>
            </w:hyperlink>
            <w:r w:rsidRPr="00C5623C">
              <w:rPr>
                <w:rFonts w:cs="Arial"/>
              </w:rPr>
              <w:t>.</w:t>
            </w:r>
          </w:p>
          <w:p w:rsidR="00C5623C" w:rsidRPr="00C5623C" w:rsidRDefault="00C5623C" w:rsidP="005A7C96">
            <w:pPr>
              <w:pStyle w:val="NotetoUser"/>
              <w:spacing w:after="60"/>
            </w:pPr>
            <w:r w:rsidRPr="00C5623C">
              <w:t xml:space="preserve">Similarly, </w:t>
            </w:r>
            <w:hyperlink r:id="rId10" w:history="1">
              <w:r w:rsidRPr="00C5623C">
                <w:rPr>
                  <w:rStyle w:val="Hyperlink"/>
                </w:rPr>
                <w:t>14 CFR § 145.211(c)(1)(i)</w:t>
              </w:r>
            </w:hyperlink>
            <w:r w:rsidRPr="00C5623C">
              <w:t xml:space="preserve"> describes the procedure for inspecting incoming materials to ensure they are acceptable.</w:t>
            </w:r>
          </w:p>
          <w:p w:rsidR="00C5623C" w:rsidRPr="00C5623C" w:rsidRDefault="00C5623C" w:rsidP="005A7C96">
            <w:pPr>
              <w:pStyle w:val="NotetoUser"/>
              <w:spacing w:after="60"/>
              <w:rPr>
                <w:rFonts w:cs="Arial"/>
              </w:rPr>
            </w:pPr>
            <w:r w:rsidRPr="00C5623C">
              <w:rPr>
                <w:rFonts w:cs="Arial"/>
              </w:rPr>
              <w:t>The section of your RSQM that addresses these requirements may be cross-referenced here.</w:t>
            </w:r>
          </w:p>
          <w:p w:rsidR="00C5623C" w:rsidRPr="00C5623C" w:rsidRDefault="00C5623C" w:rsidP="005A7C96">
            <w:pPr>
              <w:pStyle w:val="NotetoUser"/>
              <w:spacing w:after="60"/>
              <w:jc w:val="center"/>
              <w:rPr>
                <w:rFonts w:cs="Arial"/>
              </w:rPr>
            </w:pPr>
            <w:r w:rsidRPr="00C5623C">
              <w:rPr>
                <w:rFonts w:cs="Arial"/>
              </w:rPr>
              <w:t>DELETE THIS NOTE FROM THE FINAL VERSION OF THE SUPPLEMENT.</w:t>
            </w:r>
          </w:p>
          <w:p w:rsidR="00C5623C" w:rsidRPr="00C5623C" w:rsidRDefault="00C5623C" w:rsidP="005A7C96">
            <w:pPr>
              <w:pStyle w:val="paragraph"/>
              <w:spacing w:after="60"/>
              <w:rPr>
                <w:sz w:val="20"/>
                <w:szCs w:val="20"/>
              </w:rPr>
            </w:pPr>
            <w:r w:rsidRPr="00C5623C">
              <w:rPr>
                <w:sz w:val="20"/>
                <w:szCs w:val="20"/>
              </w:rPr>
              <w:t xml:space="preserve">Procedures for inspecting incoming new and used components are described in paragraph </w:t>
            </w:r>
            <w:r w:rsidRPr="00C5623C">
              <w:rPr>
                <w:color w:val="FF0000"/>
                <w:sz w:val="20"/>
                <w:szCs w:val="20"/>
              </w:rPr>
              <w:t xml:space="preserve">8.3 </w:t>
            </w:r>
            <w:r w:rsidRPr="00C5623C">
              <w:rPr>
                <w:sz w:val="20"/>
                <w:szCs w:val="20"/>
              </w:rPr>
              <w:t>of the RSQM.</w:t>
            </w:r>
          </w:p>
          <w:p w:rsidR="00C5623C" w:rsidRPr="00C5623C" w:rsidRDefault="00C5623C" w:rsidP="005A7C96">
            <w:pPr>
              <w:pStyle w:val="paragraph"/>
              <w:spacing w:after="60"/>
              <w:rPr>
                <w:sz w:val="20"/>
                <w:szCs w:val="20"/>
              </w:rPr>
            </w:pPr>
            <w:r w:rsidRPr="00C5623C">
              <w:rPr>
                <w:sz w:val="20"/>
                <w:szCs w:val="20"/>
              </w:rPr>
              <w:t xml:space="preserve">For incoming material that will be used in a repair or alteration subject to the MAG, this repair station will ensure the following </w:t>
            </w:r>
            <w:r w:rsidRPr="00C5623C">
              <w:rPr>
                <w:i/>
                <w:sz w:val="20"/>
                <w:szCs w:val="20"/>
              </w:rPr>
              <w:t>additional</w:t>
            </w:r>
            <w:r w:rsidRPr="00C5623C">
              <w:rPr>
                <w:sz w:val="20"/>
                <w:szCs w:val="20"/>
              </w:rPr>
              <w:t xml:space="preserve"> documentation is present upon incoming inspection—</w:t>
            </w:r>
          </w:p>
          <w:p w:rsidR="00C5623C" w:rsidRPr="00C5623C" w:rsidRDefault="00C5623C" w:rsidP="005A7C96">
            <w:pPr>
              <w:pStyle w:val="ListBullet"/>
              <w:spacing w:after="60"/>
              <w:rPr>
                <w:u w:val="single"/>
              </w:rPr>
            </w:pPr>
            <w:r w:rsidRPr="00C5623C">
              <w:rPr>
                <w:u w:val="single"/>
              </w:rPr>
              <w:t>New Components</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7920"/>
            </w:tblGrid>
            <w:tr w:rsidR="00C5623C" w:rsidRPr="00C5623C" w:rsidTr="00DA0214">
              <w:tc>
                <w:tcPr>
                  <w:tcW w:w="7920" w:type="dxa"/>
                  <w:shd w:val="clear" w:color="auto" w:fill="D9D9D9" w:themeFill="background1" w:themeFillShade="D9"/>
                </w:tcPr>
                <w:p w:rsidR="00C5623C" w:rsidRPr="00C5623C" w:rsidRDefault="00C5623C" w:rsidP="005A7C96">
                  <w:pPr>
                    <w:spacing w:after="60"/>
                    <w:rPr>
                      <w:rFonts w:cs="Arial"/>
                      <w:sz w:val="20"/>
                      <w:szCs w:val="20"/>
                    </w:rPr>
                  </w:pPr>
                  <w:r w:rsidRPr="00C5623C">
                    <w:rPr>
                      <w:rFonts w:cs="Arial"/>
                      <w:b/>
                      <w:sz w:val="20"/>
                      <w:szCs w:val="20"/>
                    </w:rPr>
                    <w:t>Note to User:</w:t>
                  </w:r>
                  <w:r w:rsidRPr="00C5623C">
                    <w:rPr>
                      <w:rFonts w:cs="Arial"/>
                      <w:sz w:val="20"/>
                      <w:szCs w:val="20"/>
                    </w:rPr>
                    <w:t xml:space="preserve"> This paragraph addresses </w:t>
                  </w:r>
                  <w:hyperlink r:id="rId11" w:history="1">
                    <w:r w:rsidRPr="00C5623C">
                      <w:rPr>
                        <w:rStyle w:val="Hyperlink"/>
                        <w:rFonts w:cs="Arial"/>
                        <w:sz w:val="20"/>
                        <w:szCs w:val="20"/>
                      </w:rPr>
                      <w:t>MAG</w:t>
                    </w:r>
                  </w:hyperlink>
                  <w:r w:rsidRPr="00C5623C">
                    <w:rPr>
                      <w:rFonts w:cs="Arial"/>
                      <w:sz w:val="20"/>
                      <w:szCs w:val="20"/>
                    </w:rPr>
                    <w:t xml:space="preserve">, Section B, Appendix 1, paragraph 10(k)(1), which addresses the requirement for new components to be accompanied by a </w:t>
                  </w:r>
                  <w:hyperlink r:id="rId12" w:history="1">
                    <w:r w:rsidRPr="00C5623C">
                      <w:rPr>
                        <w:rStyle w:val="Hyperlink"/>
                        <w:sz w:val="20"/>
                        <w:szCs w:val="20"/>
                      </w:rPr>
                      <w:t>FAA Form 8130-3</w:t>
                    </w:r>
                  </w:hyperlink>
                  <w:r w:rsidRPr="00C5623C">
                    <w:rPr>
                      <w:rFonts w:cs="Arial"/>
                      <w:sz w:val="20"/>
                      <w:szCs w:val="20"/>
                    </w:rPr>
                    <w:t>.</w:t>
                  </w:r>
                </w:p>
                <w:p w:rsidR="00C5623C" w:rsidRPr="00C5623C" w:rsidRDefault="00C5623C" w:rsidP="005A7C96">
                  <w:pPr>
                    <w:spacing w:after="60"/>
                    <w:rPr>
                      <w:rFonts w:cs="Arial"/>
                      <w:sz w:val="20"/>
                      <w:szCs w:val="20"/>
                    </w:rPr>
                  </w:pPr>
                  <w:r w:rsidRPr="00C5623C">
                    <w:rPr>
                      <w:rFonts w:cs="Arial"/>
                      <w:sz w:val="20"/>
                      <w:szCs w:val="20"/>
                    </w:rPr>
                    <w:t xml:space="preserve">The section of your RSQM that addresses receiving inspections and articles eligible for installation </w:t>
                  </w:r>
                  <w:r>
                    <w:rPr>
                      <w:rFonts w:cs="Arial"/>
                      <w:sz w:val="20"/>
                      <w:szCs w:val="20"/>
                    </w:rPr>
                    <w:t>must</w:t>
                  </w:r>
                  <w:r w:rsidRPr="00C5623C">
                    <w:rPr>
                      <w:rFonts w:cs="Arial"/>
                      <w:sz w:val="20"/>
                      <w:szCs w:val="20"/>
                    </w:rPr>
                    <w:t xml:space="preserve"> be cross-referenced here.</w:t>
                  </w:r>
                </w:p>
                <w:p w:rsidR="00C5623C" w:rsidRPr="00C5623C" w:rsidRDefault="00C5623C" w:rsidP="005A7C96">
                  <w:pPr>
                    <w:spacing w:after="60"/>
                    <w:rPr>
                      <w:rFonts w:cs="Arial"/>
                      <w:b/>
                      <w:sz w:val="20"/>
                      <w:szCs w:val="20"/>
                    </w:rPr>
                  </w:pPr>
                  <w:r w:rsidRPr="00C5623C">
                    <w:rPr>
                      <w:rFonts w:cs="Arial"/>
                      <w:b/>
                      <w:sz w:val="20"/>
                      <w:szCs w:val="20"/>
                    </w:rPr>
                    <w:t>***Additional references:</w:t>
                  </w:r>
                </w:p>
                <w:p w:rsidR="00C5623C" w:rsidRPr="00C5623C" w:rsidRDefault="006774F2" w:rsidP="005A7C96">
                  <w:pPr>
                    <w:pStyle w:val="ListParagraph"/>
                    <w:numPr>
                      <w:ilvl w:val="0"/>
                      <w:numId w:val="8"/>
                    </w:numPr>
                    <w:spacing w:after="60"/>
                    <w:contextualSpacing w:val="0"/>
                    <w:rPr>
                      <w:rFonts w:cs="Arial"/>
                      <w:sz w:val="20"/>
                      <w:szCs w:val="20"/>
                    </w:rPr>
                  </w:pPr>
                  <w:hyperlink r:id="rId13" w:history="1">
                    <w:r w:rsidR="00C5623C" w:rsidRPr="00C5623C">
                      <w:rPr>
                        <w:rStyle w:val="Hyperlink"/>
                        <w:rFonts w:cs="Arial"/>
                        <w:sz w:val="20"/>
                        <w:szCs w:val="20"/>
                      </w:rPr>
                      <w:t>FAA letter to ARSA, dated Aug. 25, 2015</w:t>
                    </w:r>
                  </w:hyperlink>
                  <w:r w:rsidR="00C5623C" w:rsidRPr="00C5623C">
                    <w:rPr>
                      <w:rFonts w:cs="Arial"/>
                      <w:sz w:val="20"/>
                      <w:szCs w:val="20"/>
                    </w:rPr>
                    <w:t xml:space="preserve"> (RS inspections)</w:t>
                  </w:r>
                </w:p>
                <w:p w:rsidR="00C5623C" w:rsidRPr="00C5623C" w:rsidRDefault="006774F2" w:rsidP="005A7C96">
                  <w:pPr>
                    <w:pStyle w:val="ListParagraph"/>
                    <w:numPr>
                      <w:ilvl w:val="0"/>
                      <w:numId w:val="8"/>
                    </w:numPr>
                    <w:spacing w:after="60"/>
                    <w:contextualSpacing w:val="0"/>
                    <w:rPr>
                      <w:rFonts w:cs="Arial"/>
                      <w:sz w:val="20"/>
                      <w:szCs w:val="20"/>
                    </w:rPr>
                  </w:pPr>
                  <w:hyperlink r:id="rId14" w:history="1">
                    <w:r w:rsidR="00C5623C" w:rsidRPr="00C5623C">
                      <w:rPr>
                        <w:rStyle w:val="Hyperlink"/>
                        <w:rFonts w:cs="Arial"/>
                        <w:sz w:val="20"/>
                        <w:szCs w:val="20"/>
                      </w:rPr>
                      <w:t>14 CFR § 21.137(o)</w:t>
                    </w:r>
                  </w:hyperlink>
                  <w:r w:rsidR="00C5623C" w:rsidRPr="00C5623C">
                    <w:rPr>
                      <w:rFonts w:cs="Arial"/>
                      <w:sz w:val="20"/>
                      <w:szCs w:val="20"/>
                    </w:rPr>
                    <w:t xml:space="preserve"> (PAH issuance of authorized release document under its own quality system)</w:t>
                  </w:r>
                </w:p>
                <w:p w:rsidR="00C5623C" w:rsidRPr="00C5623C" w:rsidRDefault="006774F2" w:rsidP="005A7C96">
                  <w:pPr>
                    <w:pStyle w:val="ListParagraph"/>
                    <w:numPr>
                      <w:ilvl w:val="0"/>
                      <w:numId w:val="8"/>
                    </w:numPr>
                    <w:spacing w:after="60"/>
                    <w:contextualSpacing w:val="0"/>
                    <w:rPr>
                      <w:rFonts w:cs="Arial"/>
                      <w:sz w:val="20"/>
                      <w:szCs w:val="20"/>
                    </w:rPr>
                  </w:pPr>
                  <w:hyperlink r:id="rId15" w:history="1">
                    <w:r w:rsidR="00C5623C" w:rsidRPr="00C5623C">
                      <w:rPr>
                        <w:rStyle w:val="Hyperlink"/>
                        <w:rFonts w:cs="Arial"/>
                        <w:sz w:val="20"/>
                        <w:szCs w:val="20"/>
                      </w:rPr>
                      <w:t>Letter to ARSA from the FAA and EASA</w:t>
                    </w:r>
                  </w:hyperlink>
                  <w:r w:rsidR="00C5623C" w:rsidRPr="00C5623C">
                    <w:rPr>
                      <w:rStyle w:val="Hyperlink"/>
                      <w:rFonts w:cs="Arial"/>
                      <w:sz w:val="20"/>
                      <w:szCs w:val="20"/>
                    </w:rPr>
                    <w:t>, dated April 14, 2016</w:t>
                  </w:r>
                  <w:r w:rsidR="00C5623C" w:rsidRPr="00C5623C">
                    <w:rPr>
                      <w:rStyle w:val="Hyperlink"/>
                      <w:rFonts w:cs="Arial"/>
                      <w:sz w:val="20"/>
                      <w:szCs w:val="20"/>
                      <w:u w:val="none"/>
                    </w:rPr>
                    <w:t xml:space="preserve"> </w:t>
                  </w:r>
                  <w:r w:rsidR="00C5623C" w:rsidRPr="00C5623C">
                    <w:rPr>
                      <w:rFonts w:cs="Arial"/>
                      <w:sz w:val="20"/>
                      <w:szCs w:val="20"/>
                    </w:rPr>
                    <w:t xml:space="preserve">and </w:t>
                  </w:r>
                  <w:hyperlink r:id="rId16" w:history="1">
                    <w:r w:rsidR="00C5623C" w:rsidRPr="00C5623C">
                      <w:rPr>
                        <w:rStyle w:val="Hyperlink"/>
                        <w:rFonts w:cs="Arial"/>
                        <w:sz w:val="20"/>
                        <w:szCs w:val="20"/>
                      </w:rPr>
                      <w:t>Flight Standards Notice 8900.360</w:t>
                    </w:r>
                  </w:hyperlink>
                  <w:r w:rsidR="00C5623C" w:rsidRPr="00C5623C">
                    <w:rPr>
                      <w:rStyle w:val="Hyperlink"/>
                      <w:rFonts w:cs="Arial"/>
                      <w:sz w:val="20"/>
                      <w:szCs w:val="20"/>
                      <w:u w:val="none"/>
                    </w:rPr>
                    <w:t xml:space="preserve"> </w:t>
                  </w:r>
                  <w:r w:rsidR="00C5623C" w:rsidRPr="00C5623C">
                    <w:rPr>
                      <w:rFonts w:cs="Arial"/>
                      <w:sz w:val="20"/>
                      <w:szCs w:val="20"/>
                    </w:rPr>
                    <w:t>(implementation date and grandfathered parts)</w:t>
                  </w:r>
                </w:p>
                <w:p w:rsidR="00C5623C" w:rsidRPr="00C5623C" w:rsidRDefault="006774F2" w:rsidP="005A7C96">
                  <w:pPr>
                    <w:pStyle w:val="ListParagraph"/>
                    <w:numPr>
                      <w:ilvl w:val="0"/>
                      <w:numId w:val="8"/>
                    </w:numPr>
                    <w:spacing w:after="60"/>
                    <w:contextualSpacing w:val="0"/>
                    <w:rPr>
                      <w:rFonts w:cs="Arial"/>
                      <w:sz w:val="20"/>
                      <w:szCs w:val="20"/>
                    </w:rPr>
                  </w:pPr>
                  <w:hyperlink r:id="rId17" w:tgtFrame="_blank" w:history="1">
                    <w:r w:rsidR="00C5623C" w:rsidRPr="00C5623C">
                      <w:rPr>
                        <w:rStyle w:val="Hyperlink"/>
                        <w:sz w:val="20"/>
                        <w:szCs w:val="20"/>
                      </w:rPr>
                      <w:t>Notice 8900.380</w:t>
                    </w:r>
                  </w:hyperlink>
                  <w:r w:rsidR="00C5623C" w:rsidRPr="00C5623C">
                    <w:rPr>
                      <w:rFonts w:cs="Arial"/>
                      <w:sz w:val="20"/>
                      <w:szCs w:val="20"/>
                    </w:rPr>
                    <w:t xml:space="preserve"> (confirming repair stations may inspect and approve for return to service any new part that does not meet the MAG’s part documentation requirements)</w:t>
                  </w:r>
                </w:p>
                <w:p w:rsidR="00C5623C" w:rsidRPr="00C5623C" w:rsidRDefault="006774F2" w:rsidP="005A7C96">
                  <w:pPr>
                    <w:pStyle w:val="ListParagraph"/>
                    <w:numPr>
                      <w:ilvl w:val="0"/>
                      <w:numId w:val="8"/>
                    </w:numPr>
                    <w:spacing w:after="60"/>
                    <w:contextualSpacing w:val="0"/>
                    <w:rPr>
                      <w:rFonts w:cs="Arial"/>
                      <w:sz w:val="20"/>
                      <w:szCs w:val="20"/>
                    </w:rPr>
                  </w:pPr>
                  <w:hyperlink r:id="rId18" w:history="1">
                    <w:r w:rsidR="00015E4F" w:rsidRPr="006774F2">
                      <w:rPr>
                        <w:rStyle w:val="Hyperlink"/>
                        <w:rFonts w:cs="Arial"/>
                        <w:sz w:val="20"/>
                        <w:szCs w:val="20"/>
                      </w:rPr>
                      <w:t>ARSA email to EASA, dated Aug. 23, 2016 and its l</w:t>
                    </w:r>
                    <w:r w:rsidR="00C5623C" w:rsidRPr="006774F2">
                      <w:rPr>
                        <w:rStyle w:val="Hyperlink"/>
                        <w:rFonts w:cs="Arial"/>
                        <w:sz w:val="20"/>
                        <w:szCs w:val="20"/>
                      </w:rPr>
                      <w:t>etter to ARSA, dated Sept. 21, 2</w:t>
                    </w:r>
                    <w:bookmarkStart w:id="0" w:name="_GoBack"/>
                    <w:bookmarkEnd w:id="0"/>
                    <w:r w:rsidR="00C5623C" w:rsidRPr="006774F2">
                      <w:rPr>
                        <w:rStyle w:val="Hyperlink"/>
                        <w:rFonts w:cs="Arial"/>
                        <w:sz w:val="20"/>
                        <w:szCs w:val="20"/>
                      </w:rPr>
                      <w:t>0</w:t>
                    </w:r>
                    <w:r w:rsidR="00C5623C" w:rsidRPr="006774F2">
                      <w:rPr>
                        <w:rStyle w:val="Hyperlink"/>
                        <w:rFonts w:cs="Arial"/>
                        <w:sz w:val="20"/>
                        <w:szCs w:val="20"/>
                      </w:rPr>
                      <w:t>16</w:t>
                    </w:r>
                  </w:hyperlink>
                  <w:r w:rsidR="00C5623C" w:rsidRPr="00C5623C">
                    <w:rPr>
                      <w:rFonts w:cs="Arial"/>
                      <w:sz w:val="20"/>
                      <w:szCs w:val="20"/>
                    </w:rPr>
                    <w:t xml:space="preserve"> (confirming definition of inventory as it relates to grandfathered parts)</w:t>
                  </w:r>
                </w:p>
                <w:p w:rsidR="00C5623C" w:rsidRPr="00C5623C" w:rsidRDefault="00C5623C" w:rsidP="005A7C96">
                  <w:pPr>
                    <w:spacing w:after="60"/>
                    <w:ind w:left="435" w:right="420"/>
                    <w:rPr>
                      <w:sz w:val="20"/>
                      <w:szCs w:val="20"/>
                    </w:rPr>
                  </w:pPr>
                  <w:r w:rsidRPr="00C5623C">
                    <w:rPr>
                      <w:sz w:val="20"/>
                      <w:szCs w:val="20"/>
                    </w:rPr>
                    <w:t>DELETE THIS NOTE FROM THE FINAL VERSION OF THE SUPPLEMENT.</w:t>
                  </w:r>
                </w:p>
              </w:tc>
            </w:tr>
          </w:tbl>
          <w:p w:rsidR="00C5623C" w:rsidRPr="00C5623C" w:rsidRDefault="00C5623C" w:rsidP="005A7C96">
            <w:pPr>
              <w:pStyle w:val="ListBullet"/>
              <w:numPr>
                <w:ilvl w:val="0"/>
                <w:numId w:val="0"/>
              </w:numPr>
              <w:spacing w:after="60"/>
              <w:ind w:left="360"/>
            </w:pPr>
            <w:r w:rsidRPr="00C5623C">
              <w:lastRenderedPageBreak/>
              <w:t>New components must be traceable to the Production Approval Holder (</w:t>
            </w:r>
            <w:hyperlink w:anchor="_Acronyms_and_Definitions" w:history="1">
              <w:r w:rsidRPr="00C5623C">
                <w:rPr>
                  <w:rStyle w:val="Hyperlink"/>
                </w:rPr>
                <w:t>PAH</w:t>
              </w:r>
            </w:hyperlink>
            <w:r w:rsidRPr="00C5623C">
              <w:t>) and be in a satisfactory condition for installation. An authorized release document, as detailed below, must accompany new components.</w:t>
            </w:r>
          </w:p>
          <w:p w:rsidR="00C5623C" w:rsidRPr="00C5623C" w:rsidRDefault="00C5623C" w:rsidP="005A7C96">
            <w:pPr>
              <w:pStyle w:val="ListBullet2"/>
              <w:spacing w:after="60"/>
            </w:pPr>
            <w:r w:rsidRPr="00C5623C">
              <w:t xml:space="preserve">New components from a U.S. PAH released </w:t>
            </w:r>
            <w:r w:rsidRPr="00C5623C">
              <w:rPr>
                <w:u w:val="single"/>
              </w:rPr>
              <w:t>on</w:t>
            </w:r>
            <w:r w:rsidRPr="00C5623C">
              <w:t xml:space="preserve"> or </w:t>
            </w:r>
            <w:r w:rsidRPr="00C5623C">
              <w:rPr>
                <w:u w:val="single"/>
              </w:rPr>
              <w:t>after</w:t>
            </w:r>
            <w:r w:rsidRPr="00C5623C">
              <w:t xml:space="preserve"> October 1, 2016 must be accompanied by a </w:t>
            </w:r>
            <w:hyperlink r:id="rId19" w:history="1">
              <w:r w:rsidRPr="00C5623C">
                <w:rPr>
                  <w:rStyle w:val="Hyperlink"/>
                </w:rPr>
                <w:t>FAA Form 8130-3</w:t>
              </w:r>
            </w:hyperlink>
            <w:r w:rsidRPr="00C5623C">
              <w:t>.</w:t>
            </w:r>
          </w:p>
          <w:p w:rsidR="00C5623C" w:rsidRPr="00C5623C" w:rsidRDefault="00C5623C" w:rsidP="005A7C96">
            <w:pPr>
              <w:pStyle w:val="ListBullet2"/>
              <w:numPr>
                <w:ilvl w:val="2"/>
                <w:numId w:val="2"/>
              </w:numPr>
              <w:spacing w:after="60"/>
              <w:ind w:left="1080"/>
              <w:jc w:val="both"/>
            </w:pPr>
            <w:r w:rsidRPr="00C5623C">
              <w:t xml:space="preserve">Except for critical PMA parts (which must be traceable to a licensee of a type or supplemental type certificate holder or an EASA design approval), PMA parts are acceptable if accompanied by </w:t>
            </w:r>
            <w:hyperlink r:id="rId20" w:history="1">
              <w:r w:rsidRPr="00C5623C">
                <w:rPr>
                  <w:rStyle w:val="Hyperlink"/>
                </w:rPr>
                <w:t>FAA Form 8130-3</w:t>
              </w:r>
            </w:hyperlink>
            <w:r w:rsidRPr="00C5623C">
              <w:t xml:space="preserve"> prepared in accordance with the Technical Implementation Procedures.</w:t>
            </w:r>
          </w:p>
          <w:p w:rsidR="00C5623C" w:rsidRPr="00C5623C" w:rsidRDefault="00C5623C" w:rsidP="005A7C96">
            <w:pPr>
              <w:pStyle w:val="ListBullet2"/>
              <w:numPr>
                <w:ilvl w:val="2"/>
                <w:numId w:val="2"/>
              </w:numPr>
              <w:spacing w:after="60"/>
              <w:ind w:left="1080"/>
            </w:pPr>
            <w:r w:rsidRPr="00C5623C">
              <w:rPr>
                <w:u w:val="single"/>
              </w:rPr>
              <w:t>Grandfathered Components</w:t>
            </w:r>
            <w:r w:rsidRPr="00C5623C">
              <w:t xml:space="preserve">: New components released by a U.S. PAH </w:t>
            </w:r>
            <w:r w:rsidRPr="00C5623C">
              <w:rPr>
                <w:u w:val="single"/>
              </w:rPr>
              <w:t>before</w:t>
            </w:r>
            <w:r w:rsidRPr="00C5623C">
              <w:t xml:space="preserve"> October 1, 2016:</w:t>
            </w:r>
          </w:p>
          <w:p w:rsidR="00C5623C" w:rsidRPr="00C5623C" w:rsidRDefault="00C5623C" w:rsidP="005A7C96">
            <w:pPr>
              <w:pStyle w:val="ListBullet2"/>
              <w:numPr>
                <w:ilvl w:val="0"/>
                <w:numId w:val="0"/>
              </w:numPr>
              <w:spacing w:after="60"/>
              <w:ind w:left="1080"/>
            </w:pPr>
            <w:r w:rsidRPr="00C5623C">
              <w:t xml:space="preserve">If received into the repair station’s inventory on or before September 30, 2016 (and regardless of the date they are to be installed), the components do </w:t>
            </w:r>
            <w:r w:rsidRPr="00C5623C">
              <w:rPr>
                <w:u w:val="single"/>
              </w:rPr>
              <w:t>not</w:t>
            </w:r>
            <w:r w:rsidRPr="00C5623C">
              <w:t xml:space="preserve"> require a </w:t>
            </w:r>
            <w:hyperlink r:id="rId21" w:history="1">
              <w:r w:rsidRPr="00C5623C">
                <w:rPr>
                  <w:rStyle w:val="Hyperlink"/>
                </w:rPr>
                <w:t>FAA Form 8130-3</w:t>
              </w:r>
            </w:hyperlink>
            <w:r w:rsidRPr="00C5623C">
              <w:t xml:space="preserve">, </w:t>
            </w:r>
            <w:r w:rsidRPr="00C5623C">
              <w:rPr>
                <w:i/>
              </w:rPr>
              <w:t>provided</w:t>
            </w:r>
            <w:r w:rsidRPr="00C5623C">
              <w:t xml:space="preserve"> the following conditions are met:</w:t>
            </w:r>
          </w:p>
          <w:p w:rsidR="00C5623C" w:rsidRPr="00C5623C" w:rsidRDefault="00C5623C" w:rsidP="005A7C96">
            <w:pPr>
              <w:pStyle w:val="ListBullet2"/>
              <w:numPr>
                <w:ilvl w:val="4"/>
                <w:numId w:val="10"/>
              </w:numPr>
              <w:spacing w:after="60"/>
              <w:ind w:left="1440"/>
            </w:pPr>
            <w:r w:rsidRPr="00C5623C">
              <w:t xml:space="preserve">The components are accompanied by a document or statement from the PAH or supplier with direct ship authority that contains the same technical information as a </w:t>
            </w:r>
            <w:hyperlink r:id="rId22" w:history="1">
              <w:r w:rsidRPr="00C5623C">
                <w:rPr>
                  <w:rStyle w:val="Hyperlink"/>
                </w:rPr>
                <w:t>FAA Form 8130-3</w:t>
              </w:r>
            </w:hyperlink>
            <w:r w:rsidRPr="00C5623C">
              <w:t xml:space="preserve"> (i.e., part name, part number and serial number, if applicable), </w:t>
            </w:r>
            <w:r w:rsidRPr="00C5623C">
              <w:rPr>
                <w:u w:val="single"/>
              </w:rPr>
              <w:t>and</w:t>
            </w:r>
          </w:p>
          <w:p w:rsidR="00C5623C" w:rsidRPr="00C5623C" w:rsidRDefault="00C5623C" w:rsidP="005A7C96">
            <w:pPr>
              <w:pStyle w:val="ListBullet2"/>
              <w:numPr>
                <w:ilvl w:val="4"/>
                <w:numId w:val="10"/>
              </w:numPr>
              <w:spacing w:after="60"/>
              <w:ind w:left="1440"/>
            </w:pPr>
            <w:r w:rsidRPr="00C5623C">
              <w:t>The repair station has documentation that the component was received into its inventory on or before September 30, 2016.</w:t>
            </w:r>
          </w:p>
          <w:p w:rsidR="00C5623C" w:rsidRPr="00C5623C" w:rsidRDefault="00C5623C" w:rsidP="005A7C96">
            <w:pPr>
              <w:pStyle w:val="ListBullet2"/>
              <w:spacing w:after="60"/>
            </w:pPr>
            <w:r w:rsidRPr="00C5623C">
              <w:t>New components released by a Canadian PAH must be accompanied by a TCCA Form One.</w:t>
            </w:r>
          </w:p>
          <w:p w:rsidR="00C5623C" w:rsidRPr="00C5623C" w:rsidRDefault="00C5623C" w:rsidP="005A7C96">
            <w:pPr>
              <w:pStyle w:val="ListBullet2"/>
              <w:spacing w:after="60"/>
            </w:pPr>
            <w:r w:rsidRPr="00C5623C">
              <w:t>New components released by a EU PAH must be accompanied by a EASA Form 1.</w:t>
            </w:r>
          </w:p>
          <w:p w:rsidR="00C5623C" w:rsidRPr="00C5623C" w:rsidRDefault="00C5623C" w:rsidP="005A7C96">
            <w:pPr>
              <w:pStyle w:val="ListBullet2"/>
              <w:numPr>
                <w:ilvl w:val="4"/>
                <w:numId w:val="9"/>
              </w:numPr>
              <w:spacing w:after="60"/>
              <w:ind w:left="720"/>
            </w:pPr>
            <w:r w:rsidRPr="00C5623C">
              <w:t xml:space="preserve">New components that do not meet the above requirements may be eligible for installation </w:t>
            </w:r>
            <w:r w:rsidRPr="00C5623C">
              <w:rPr>
                <w:i/>
              </w:rPr>
              <w:t>provided</w:t>
            </w:r>
            <w:r w:rsidRPr="00C5623C">
              <w:t xml:space="preserve"> the repair station, using Form E100, performs an inspection under </w:t>
            </w:r>
            <w:hyperlink r:id="rId23" w:history="1">
              <w:r w:rsidRPr="00C5623C">
                <w:rPr>
                  <w:rStyle w:val="Hyperlink"/>
                </w:rPr>
                <w:t>part 43</w:t>
              </w:r>
            </w:hyperlink>
            <w:r w:rsidRPr="00C5623C">
              <w:t xml:space="preserve"> and approves the work for return to service by issuing a dual release on </w:t>
            </w:r>
            <w:hyperlink r:id="rId24" w:history="1">
              <w:r w:rsidRPr="00C5623C">
                <w:rPr>
                  <w:rStyle w:val="Hyperlink"/>
                </w:rPr>
                <w:t>FAA Form 8130-3</w:t>
              </w:r>
            </w:hyperlink>
            <w:r w:rsidRPr="00C5623C">
              <w:t>.</w:t>
            </w:r>
          </w:p>
          <w:p w:rsidR="00C5623C" w:rsidRPr="00C5623C" w:rsidRDefault="00C5623C" w:rsidP="005A7C96">
            <w:pPr>
              <w:pStyle w:val="ListBullet2"/>
              <w:spacing w:after="60"/>
            </w:pPr>
            <w:r w:rsidRPr="00C5623C">
              <w:t>Fabricated Parts</w:t>
            </w:r>
          </w:p>
          <w:p w:rsidR="00C5623C" w:rsidRPr="00C5623C" w:rsidRDefault="00C5623C" w:rsidP="005A7C96">
            <w:pPr>
              <w:pStyle w:val="ListBullet2"/>
              <w:numPr>
                <w:ilvl w:val="0"/>
                <w:numId w:val="0"/>
              </w:numPr>
              <w:spacing w:after="60"/>
              <w:ind w:left="720" w:right="-90"/>
            </w:pPr>
            <w:r w:rsidRPr="00C5623C">
              <w:t xml:space="preserve">Fabricated parts, produced by an appropriately rated repair station under its quality system, for consumption in a repair or alteration of a product or article in accordance with 14 CFR </w:t>
            </w:r>
            <w:hyperlink r:id="rId25" w:history="1">
              <w:r w:rsidRPr="00C5623C">
                <w:rPr>
                  <w:rStyle w:val="Hyperlink"/>
                </w:rPr>
                <w:t>§ 21.9(a)(6)</w:t>
              </w:r>
            </w:hyperlink>
            <w:r w:rsidRPr="00C5623C">
              <w:t xml:space="preserve"> and </w:t>
            </w:r>
            <w:hyperlink r:id="rId26" w:history="1">
              <w:r w:rsidRPr="00C5623C">
                <w:rPr>
                  <w:rStyle w:val="Hyperlink"/>
                </w:rPr>
                <w:t>part 43</w:t>
              </w:r>
            </w:hyperlink>
            <w:r w:rsidRPr="00C5623C">
              <w:t>, are not subject to the documentation requirements.</w:t>
            </w:r>
          </w:p>
          <w:p w:rsidR="00C5623C" w:rsidRPr="00C5623C" w:rsidRDefault="00C5623C" w:rsidP="005A7C96">
            <w:pPr>
              <w:pStyle w:val="ListBullet2"/>
              <w:numPr>
                <w:ilvl w:val="0"/>
                <w:numId w:val="9"/>
              </w:numPr>
              <w:spacing w:after="60"/>
              <w:ind w:left="810"/>
              <w:rPr>
                <w:i/>
              </w:rPr>
            </w:pPr>
            <w:r w:rsidRPr="00C5623C">
              <w:rPr>
                <w:i/>
              </w:rPr>
              <w:t>Standard Parts</w:t>
            </w:r>
          </w:p>
          <w:p w:rsidR="00C5623C" w:rsidRPr="00C5623C" w:rsidRDefault="00C5623C" w:rsidP="005A7C96">
            <w:pPr>
              <w:pStyle w:val="ListBullet2"/>
              <w:numPr>
                <w:ilvl w:val="0"/>
                <w:numId w:val="0"/>
              </w:numPr>
              <w:spacing w:after="60"/>
              <w:ind w:left="720"/>
            </w:pPr>
            <w:r w:rsidRPr="00C5623C">
              <w:t>Standard parts must be traceable to the manufacturer, accompanied by a conformity statement and be in satisfactory condition for installation.</w:t>
            </w:r>
          </w:p>
          <w:p w:rsidR="00C5623C" w:rsidRDefault="00C5623C" w:rsidP="005A7C96">
            <w:pPr>
              <w:pStyle w:val="ListBullet2"/>
              <w:numPr>
                <w:ilvl w:val="0"/>
                <w:numId w:val="0"/>
              </w:numPr>
              <w:spacing w:after="60"/>
            </w:pPr>
            <w:r w:rsidRPr="00C5623C">
              <w:rPr>
                <w:b/>
              </w:rPr>
              <w:t>NOTE:</w:t>
            </w:r>
            <w:r w:rsidRPr="00C5623C">
              <w:t xml:space="preserve"> New components that do not meet the documentation requirements, but otherwise comply with Title 14 CFR, remain eligible for installation in maintenance and alterations that are approved for return to service with a single FAA release.</w:t>
            </w:r>
          </w:p>
          <w:p w:rsidR="005A7C96" w:rsidRPr="00C5623C" w:rsidRDefault="005A7C96" w:rsidP="005A7C96">
            <w:pPr>
              <w:pStyle w:val="ListBullet2"/>
              <w:numPr>
                <w:ilvl w:val="0"/>
                <w:numId w:val="0"/>
              </w:numPr>
              <w:spacing w:after="60"/>
            </w:pPr>
          </w:p>
          <w:p w:rsidR="00C5623C" w:rsidRPr="00C5623C" w:rsidRDefault="00C5623C" w:rsidP="005A7C96">
            <w:pPr>
              <w:pStyle w:val="ListBullet"/>
              <w:spacing w:after="60"/>
              <w:rPr>
                <w:u w:val="single"/>
              </w:rPr>
            </w:pPr>
            <w:r w:rsidRPr="00C5623C">
              <w:rPr>
                <w:u w:val="single"/>
              </w:rPr>
              <w:lastRenderedPageBreak/>
              <w:t>Used Components</w:t>
            </w:r>
          </w:p>
          <w:p w:rsidR="00C5623C" w:rsidRPr="00C5623C" w:rsidRDefault="00C5623C" w:rsidP="005A7C96">
            <w:pPr>
              <w:pStyle w:val="ListBullet"/>
              <w:numPr>
                <w:ilvl w:val="0"/>
                <w:numId w:val="0"/>
              </w:numPr>
              <w:spacing w:after="60"/>
              <w:ind w:left="360"/>
            </w:pPr>
            <w:r w:rsidRPr="00C5623C">
              <w:t>For used components, documentation must include one of the following—</w:t>
            </w:r>
          </w:p>
          <w:p w:rsidR="00C5623C" w:rsidRPr="00C5623C" w:rsidRDefault="00C5623C" w:rsidP="005A7C96">
            <w:pPr>
              <w:pStyle w:val="ListBullet2"/>
              <w:spacing w:after="60"/>
            </w:pPr>
            <w:r w:rsidRPr="00C5623C">
              <w:t xml:space="preserve">An </w:t>
            </w:r>
            <w:hyperlink r:id="rId27" w:history="1">
              <w:r w:rsidRPr="00C5623C">
                <w:rPr>
                  <w:rStyle w:val="Hyperlink"/>
                </w:rPr>
                <w:t>FAA Form 8130-3</w:t>
              </w:r>
            </w:hyperlink>
            <w:r w:rsidRPr="00C5623C">
              <w:t xml:space="preserve"> issued as a dual maintenance release from an appropriately authorized (i.e., EASA Part-145) repair station.</w:t>
            </w:r>
          </w:p>
          <w:p w:rsidR="00C5623C" w:rsidRPr="00C5623C" w:rsidRDefault="00C5623C" w:rsidP="005A7C96">
            <w:pPr>
              <w:pStyle w:val="ListBullet2"/>
              <w:numPr>
                <w:ilvl w:val="0"/>
                <w:numId w:val="0"/>
              </w:numPr>
              <w:spacing w:after="60"/>
              <w:ind w:left="720"/>
            </w:pPr>
            <w:r w:rsidRPr="00C5623C">
              <w:rPr>
                <w:u w:val="single"/>
              </w:rPr>
              <w:t>NOTE</w:t>
            </w:r>
            <w:r w:rsidRPr="00C5623C">
              <w:t xml:space="preserve">: Components received with an FAA-only release must not be used in a repair subject to the MAG unless the repair station treats the source as non-certificated under </w:t>
            </w:r>
            <w:hyperlink r:id="rId28" w:history="1">
              <w:r w:rsidRPr="00C5623C">
                <w:rPr>
                  <w:rStyle w:val="Hyperlink"/>
                </w:rPr>
                <w:t>§ 145.217</w:t>
              </w:r>
            </w:hyperlink>
            <w:r w:rsidRPr="00C5623C">
              <w:t xml:space="preserve"> or performs additional maintenance to ensure compliance with this EASA Supplement (see Flight Standards </w:t>
            </w:r>
            <w:hyperlink r:id="rId29" w:tgtFrame="_blank" w:history="1">
              <w:r w:rsidRPr="00C5623C">
                <w:rPr>
                  <w:rStyle w:val="Hyperlink"/>
                </w:rPr>
                <w:t>Notice 8900.380</w:t>
              </w:r>
            </w:hyperlink>
            <w:r w:rsidRPr="00C5623C">
              <w:t>).</w:t>
            </w:r>
          </w:p>
          <w:p w:rsidR="00C5623C" w:rsidRPr="00C5623C" w:rsidRDefault="00C5623C" w:rsidP="005A7C96">
            <w:pPr>
              <w:pStyle w:val="ListBullet2"/>
              <w:spacing w:after="60"/>
            </w:pPr>
            <w:r w:rsidRPr="00C5623C">
              <w:t>An EASA Form 1 issued as a maintenance release from EASA Part-145 approved maintenance organizations not located in the U.S. An EASA Form 1 triple release (certifying compliance with FAA, EASA and TCCA requirements) is acceptable.</w:t>
            </w:r>
          </w:p>
          <w:p w:rsidR="00C5623C" w:rsidRPr="00C5623C" w:rsidRDefault="00C5623C" w:rsidP="005A7C96">
            <w:pPr>
              <w:pStyle w:val="ListBullet2"/>
              <w:spacing w:after="60"/>
              <w:ind w:right="-90"/>
              <w:rPr>
                <w:rFonts w:cs="Arial"/>
              </w:rPr>
            </w:pPr>
            <w:r w:rsidRPr="00C5623C">
              <w:t>A TCCA Form One issued as a maintenance release from a Canadian EASA-approved maintenance organization so long as the form includes the EASA release statement and EASA approval number.</w:t>
            </w:r>
          </w:p>
        </w:tc>
      </w:tr>
    </w:tbl>
    <w:p w:rsidR="00702A16" w:rsidRPr="00C5623C" w:rsidRDefault="00702A16">
      <w:pPr>
        <w:rPr>
          <w:sz w:val="20"/>
          <w:szCs w:val="20"/>
        </w:rPr>
      </w:pPr>
    </w:p>
    <w:sectPr w:rsidR="00702A16" w:rsidRPr="00C5623C" w:rsidSect="008904C6">
      <w:footerReference w:type="default" r:id="rId30"/>
      <w:headerReference w:type="first" r:id="rId31"/>
      <w:footerReference w:type="first" r:id="rId32"/>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179" w:rsidRDefault="00530179" w:rsidP="00530179">
      <w:pPr>
        <w:spacing w:after="0" w:line="240" w:lineRule="auto"/>
      </w:pPr>
      <w:r>
        <w:separator/>
      </w:r>
    </w:p>
  </w:endnote>
  <w:endnote w:type="continuationSeparator" w:id="0">
    <w:p w:rsidR="00530179" w:rsidRDefault="00530179" w:rsidP="0053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7195"/>
    </w:tblGrid>
    <w:tr w:rsidR="00530179" w:rsidRPr="008462E2" w:rsidTr="00530179">
      <w:tc>
        <w:tcPr>
          <w:tcW w:w="7195" w:type="dxa"/>
        </w:tcPr>
        <w:p w:rsidR="00530179" w:rsidRPr="008462E2" w:rsidRDefault="008904C6">
          <w:pPr>
            <w:pStyle w:val="Footer"/>
            <w:rPr>
              <w:sz w:val="20"/>
              <w:szCs w:val="20"/>
            </w:rPr>
          </w:pPr>
          <w:r>
            <w:rPr>
              <w:sz w:val="20"/>
              <w:szCs w:val="20"/>
            </w:rPr>
            <w:t>ARSA’s Model EASA Supplement – Revision Summary</w:t>
          </w:r>
        </w:p>
      </w:tc>
      <w:tc>
        <w:tcPr>
          <w:tcW w:w="7195" w:type="dxa"/>
        </w:tcPr>
        <w:p w:rsidR="00530179" w:rsidRPr="008462E2" w:rsidRDefault="008462E2" w:rsidP="008462E2">
          <w:pPr>
            <w:pStyle w:val="Footer"/>
            <w:jc w:val="right"/>
            <w:rPr>
              <w:sz w:val="20"/>
              <w:szCs w:val="20"/>
            </w:rPr>
          </w:pPr>
          <w:r w:rsidRPr="008462E2">
            <w:rPr>
              <w:sz w:val="20"/>
              <w:szCs w:val="20"/>
            </w:rPr>
            <w:t xml:space="preserve">Page </w:t>
          </w:r>
          <w:r w:rsidRPr="008462E2">
            <w:rPr>
              <w:sz w:val="20"/>
              <w:szCs w:val="20"/>
            </w:rPr>
            <w:fldChar w:fldCharType="begin"/>
          </w:r>
          <w:r w:rsidRPr="008462E2">
            <w:rPr>
              <w:sz w:val="20"/>
              <w:szCs w:val="20"/>
            </w:rPr>
            <w:instrText xml:space="preserve"> PAGE   \* MERGEFORMAT </w:instrText>
          </w:r>
          <w:r w:rsidRPr="008462E2">
            <w:rPr>
              <w:sz w:val="20"/>
              <w:szCs w:val="20"/>
            </w:rPr>
            <w:fldChar w:fldCharType="separate"/>
          </w:r>
          <w:r w:rsidR="006774F2">
            <w:rPr>
              <w:noProof/>
              <w:sz w:val="20"/>
              <w:szCs w:val="20"/>
            </w:rPr>
            <w:t>3</w:t>
          </w:r>
          <w:r w:rsidRPr="008462E2">
            <w:rPr>
              <w:noProof/>
              <w:sz w:val="20"/>
              <w:szCs w:val="20"/>
            </w:rPr>
            <w:fldChar w:fldCharType="end"/>
          </w:r>
        </w:p>
      </w:tc>
    </w:tr>
    <w:tr w:rsidR="008462E2" w:rsidRPr="008462E2" w:rsidTr="007E1F04">
      <w:tc>
        <w:tcPr>
          <w:tcW w:w="14390" w:type="dxa"/>
          <w:gridSpan w:val="2"/>
        </w:tcPr>
        <w:p w:rsidR="008462E2" w:rsidRPr="00E22BAE" w:rsidRDefault="008462E2" w:rsidP="008462E2">
          <w:pPr>
            <w:jc w:val="center"/>
            <w:rPr>
              <w:rFonts w:ascii="Calibri" w:hAnsi="Calibri"/>
              <w:sz w:val="10"/>
              <w:szCs w:val="10"/>
            </w:rPr>
          </w:pPr>
          <w:r w:rsidRPr="00E22BAE">
            <w:rPr>
              <w:sz w:val="10"/>
              <w:szCs w:val="10"/>
            </w:rPr>
            <w:t>Copyright © 2016 Obadal, Filler, MacLeod &amp; Klein, P.L.C.</w:t>
          </w:r>
        </w:p>
        <w:p w:rsidR="008462E2" w:rsidRPr="008462E2" w:rsidRDefault="008462E2" w:rsidP="008462E2">
          <w:pPr>
            <w:pStyle w:val="Footer"/>
            <w:jc w:val="center"/>
            <w:rPr>
              <w:sz w:val="20"/>
              <w:szCs w:val="20"/>
            </w:rPr>
          </w:pPr>
          <w:r w:rsidRPr="00E22BAE">
            <w:rPr>
              <w:sz w:val="10"/>
              <w:szCs w:val="10"/>
            </w:rPr>
            <w:t xml:space="preserve">703 299 0784 • </w:t>
          </w:r>
          <w:hyperlink r:id="rId1" w:history="1">
            <w:r w:rsidRPr="00E73044">
              <w:rPr>
                <w:rStyle w:val="Hyperlink"/>
                <w:sz w:val="10"/>
                <w:szCs w:val="10"/>
              </w:rPr>
              <w:t>http://potomac-law.com</w:t>
            </w:r>
          </w:hyperlink>
        </w:p>
      </w:tc>
    </w:tr>
  </w:tbl>
  <w:p w:rsidR="00530179" w:rsidRPr="008462E2" w:rsidRDefault="00530179" w:rsidP="008462E2">
    <w:pPr>
      <w:pStyle w:val="Footer"/>
      <w:jc w:val="center"/>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C96" w:rsidRPr="00E22BAE" w:rsidRDefault="005A7C96" w:rsidP="005A7C96">
    <w:pPr>
      <w:spacing w:after="0" w:line="240" w:lineRule="auto"/>
      <w:jc w:val="center"/>
      <w:rPr>
        <w:rFonts w:ascii="Calibri" w:hAnsi="Calibri"/>
        <w:sz w:val="10"/>
        <w:szCs w:val="10"/>
      </w:rPr>
    </w:pPr>
    <w:r w:rsidRPr="00E22BAE">
      <w:rPr>
        <w:sz w:val="10"/>
        <w:szCs w:val="10"/>
      </w:rPr>
      <w:t>Copyright © 2016 Obadal, Filler, MacLeod &amp; Klein, P.L.C.</w:t>
    </w:r>
  </w:p>
  <w:p w:rsidR="005A7C96" w:rsidRDefault="005A7C96" w:rsidP="005A7C96">
    <w:pPr>
      <w:pStyle w:val="Footer"/>
      <w:jc w:val="center"/>
    </w:pPr>
    <w:r w:rsidRPr="00E22BAE">
      <w:rPr>
        <w:sz w:val="10"/>
        <w:szCs w:val="10"/>
      </w:rPr>
      <w:t xml:space="preserve">703 299 0784 • </w:t>
    </w:r>
    <w:hyperlink r:id="rId1" w:history="1">
      <w:r w:rsidRPr="00E73044">
        <w:rPr>
          <w:rStyle w:val="Hyperlink"/>
          <w:sz w:val="10"/>
          <w:szCs w:val="10"/>
        </w:rPr>
        <w:t>http://potomac-law.com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179" w:rsidRDefault="00530179" w:rsidP="00530179">
      <w:pPr>
        <w:spacing w:after="0" w:line="240" w:lineRule="auto"/>
      </w:pPr>
      <w:r>
        <w:separator/>
      </w:r>
    </w:p>
  </w:footnote>
  <w:footnote w:type="continuationSeparator" w:id="0">
    <w:p w:rsidR="00530179" w:rsidRDefault="00530179" w:rsidP="00530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90" w:type="dxa"/>
      <w:tblLook w:val="01E0" w:firstRow="1" w:lastRow="1" w:firstColumn="1" w:lastColumn="1" w:noHBand="0" w:noVBand="0"/>
    </w:tblPr>
    <w:tblGrid>
      <w:gridCol w:w="6750"/>
      <w:gridCol w:w="7740"/>
    </w:tblGrid>
    <w:tr w:rsidR="005A7C96" w:rsidTr="005A7C96">
      <w:tc>
        <w:tcPr>
          <w:tcW w:w="6750" w:type="dxa"/>
          <w:vAlign w:val="center"/>
        </w:tcPr>
        <w:p w:rsidR="005A7C96" w:rsidRDefault="005A7C96" w:rsidP="005A7C96">
          <w:pPr>
            <w:pStyle w:val="Header"/>
            <w:rPr>
              <w:rFonts w:cs="Arial"/>
              <w:sz w:val="20"/>
              <w:szCs w:val="20"/>
            </w:rPr>
          </w:pPr>
          <w:r>
            <w:rPr>
              <w:rFonts w:cs="Arial"/>
              <w:noProof/>
              <w:sz w:val="20"/>
              <w:szCs w:val="20"/>
            </w:rPr>
            <w:drawing>
              <wp:inline distT="0" distB="0" distL="0" distR="0" wp14:anchorId="3B667013" wp14:editId="63E66BA8">
                <wp:extent cx="2011680" cy="729663"/>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SAarsa300.jpg"/>
                        <pic:cNvPicPr/>
                      </pic:nvPicPr>
                      <pic:blipFill>
                        <a:blip r:embed="rId1">
                          <a:extLst>
                            <a:ext uri="{28A0092B-C50C-407E-A947-70E740481C1C}">
                              <a14:useLocalDpi xmlns:a14="http://schemas.microsoft.com/office/drawing/2010/main" val="0"/>
                            </a:ext>
                          </a:extLst>
                        </a:blip>
                        <a:stretch>
                          <a:fillRect/>
                        </a:stretch>
                      </pic:blipFill>
                      <pic:spPr>
                        <a:xfrm>
                          <a:off x="0" y="0"/>
                          <a:ext cx="2011680" cy="729663"/>
                        </a:xfrm>
                        <a:prstGeom prst="rect">
                          <a:avLst/>
                        </a:prstGeom>
                      </pic:spPr>
                    </pic:pic>
                  </a:graphicData>
                </a:graphic>
              </wp:inline>
            </w:drawing>
          </w:r>
        </w:p>
      </w:tc>
      <w:tc>
        <w:tcPr>
          <w:tcW w:w="7740" w:type="dxa"/>
        </w:tcPr>
        <w:p w:rsidR="005A7C96" w:rsidRDefault="005A7C96" w:rsidP="005A7C96">
          <w:pPr>
            <w:pStyle w:val="Header"/>
            <w:spacing w:line="240" w:lineRule="exact"/>
            <w:jc w:val="right"/>
            <w:rPr>
              <w:rFonts w:cs="Arial"/>
              <w:sz w:val="18"/>
              <w:szCs w:val="18"/>
            </w:rPr>
          </w:pPr>
          <w:smartTag w:uri="urn:schemas-microsoft-com:office:smarttags" w:element="address">
            <w:smartTag w:uri="urn:schemas-microsoft-com:office:smarttags" w:element="Street">
              <w:r>
                <w:rPr>
                  <w:rFonts w:cs="Arial"/>
                  <w:sz w:val="18"/>
                  <w:szCs w:val="18"/>
                </w:rPr>
                <w:t>121 North Henry Street</w:t>
              </w:r>
            </w:smartTag>
            <w:r>
              <w:rPr>
                <w:rFonts w:cs="Arial"/>
                <w:sz w:val="18"/>
                <w:szCs w:val="18"/>
              </w:rPr>
              <w:br/>
            </w:r>
            <w:smartTag w:uri="urn:schemas-microsoft-com:office:smarttags" w:element="City">
              <w:r>
                <w:rPr>
                  <w:rFonts w:cs="Arial"/>
                  <w:sz w:val="18"/>
                  <w:szCs w:val="18"/>
                </w:rPr>
                <w:t>Alexandria</w:t>
              </w:r>
            </w:smartTag>
            <w:r>
              <w:rPr>
                <w:rFonts w:cs="Arial"/>
                <w:sz w:val="18"/>
                <w:szCs w:val="18"/>
              </w:rPr>
              <w:t xml:space="preserve">, </w:t>
            </w:r>
            <w:smartTag w:uri="urn:schemas-microsoft-com:office:smarttags" w:element="State">
              <w:r>
                <w:rPr>
                  <w:rFonts w:cs="Arial"/>
                  <w:sz w:val="18"/>
                  <w:szCs w:val="18"/>
                </w:rPr>
                <w:t>VA</w:t>
              </w:r>
            </w:smartTag>
            <w:r>
              <w:rPr>
                <w:rFonts w:cs="Arial"/>
                <w:sz w:val="18"/>
                <w:szCs w:val="18"/>
              </w:rPr>
              <w:t xml:space="preserve"> </w:t>
            </w:r>
            <w:smartTag w:uri="urn:schemas-microsoft-com:office:smarttags" w:element="PostalCode">
              <w:r>
                <w:rPr>
                  <w:rFonts w:cs="Arial"/>
                  <w:sz w:val="18"/>
                  <w:szCs w:val="18"/>
                </w:rPr>
                <w:t>22314-2903</w:t>
              </w:r>
            </w:smartTag>
          </w:smartTag>
          <w:r>
            <w:rPr>
              <w:rFonts w:cs="Arial"/>
              <w:sz w:val="18"/>
              <w:szCs w:val="18"/>
            </w:rPr>
            <w:br/>
            <w:t>T: 703 739 9543    F: 703 739 9488</w:t>
          </w:r>
          <w:r>
            <w:rPr>
              <w:rFonts w:cs="Arial"/>
              <w:sz w:val="18"/>
              <w:szCs w:val="18"/>
            </w:rPr>
            <w:br/>
            <w:t xml:space="preserve">arsa@arsa.org    </w:t>
          </w:r>
          <w:hyperlink r:id="rId2" w:history="1">
            <w:r w:rsidRPr="00D62174">
              <w:rPr>
                <w:rStyle w:val="Hyperlink"/>
                <w:rFonts w:cs="Arial"/>
                <w:sz w:val="18"/>
                <w:szCs w:val="18"/>
              </w:rPr>
              <w:t>www.arsa.org</w:t>
            </w:r>
          </w:hyperlink>
        </w:p>
      </w:tc>
    </w:tr>
    <w:tr w:rsidR="005A7C96" w:rsidTr="005A7C96">
      <w:tc>
        <w:tcPr>
          <w:tcW w:w="6750" w:type="dxa"/>
          <w:vAlign w:val="center"/>
        </w:tcPr>
        <w:p w:rsidR="005A7C96" w:rsidRDefault="005A7C96" w:rsidP="005A7C96">
          <w:pPr>
            <w:pStyle w:val="Header"/>
            <w:rPr>
              <w:rFonts w:cs="Arial"/>
              <w:noProof/>
              <w:sz w:val="20"/>
              <w:szCs w:val="20"/>
            </w:rPr>
          </w:pPr>
        </w:p>
      </w:tc>
      <w:tc>
        <w:tcPr>
          <w:tcW w:w="7740" w:type="dxa"/>
        </w:tcPr>
        <w:p w:rsidR="005A7C96" w:rsidRDefault="005A7C96" w:rsidP="005A7C96">
          <w:pPr>
            <w:pStyle w:val="Header"/>
            <w:spacing w:line="240" w:lineRule="exact"/>
            <w:jc w:val="right"/>
            <w:rPr>
              <w:rFonts w:cs="Arial"/>
              <w:sz w:val="18"/>
              <w:szCs w:val="18"/>
            </w:rPr>
          </w:pPr>
        </w:p>
      </w:tc>
    </w:tr>
    <w:tr w:rsidR="005A7C96" w:rsidTr="005A7C96">
      <w:tc>
        <w:tcPr>
          <w:tcW w:w="6750" w:type="dxa"/>
          <w:vAlign w:val="center"/>
        </w:tcPr>
        <w:p w:rsidR="005A7C96" w:rsidRDefault="005A7C96" w:rsidP="005A7C96">
          <w:pPr>
            <w:pStyle w:val="Header"/>
            <w:rPr>
              <w:rFonts w:cs="Arial"/>
              <w:noProof/>
              <w:sz w:val="20"/>
              <w:szCs w:val="20"/>
            </w:rPr>
          </w:pPr>
          <w:r>
            <w:t>ARSA’s Model EASA Supplement – Revision Summary</w:t>
          </w:r>
        </w:p>
      </w:tc>
      <w:tc>
        <w:tcPr>
          <w:tcW w:w="7740" w:type="dxa"/>
        </w:tcPr>
        <w:p w:rsidR="005A7C96" w:rsidRDefault="005A7C96" w:rsidP="005A7C96">
          <w:pPr>
            <w:pStyle w:val="Header"/>
            <w:spacing w:line="240" w:lineRule="exact"/>
            <w:jc w:val="right"/>
            <w:rPr>
              <w:rFonts w:cs="Arial"/>
              <w:sz w:val="18"/>
              <w:szCs w:val="18"/>
            </w:rPr>
          </w:pPr>
        </w:p>
      </w:tc>
    </w:tr>
  </w:tbl>
  <w:p w:rsidR="008462E2" w:rsidRPr="008904C6" w:rsidRDefault="008462E2">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7CAA"/>
    <w:multiLevelType w:val="hybridMultilevel"/>
    <w:tmpl w:val="7D800228"/>
    <w:lvl w:ilvl="0" w:tplc="416C5B4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B8620F"/>
    <w:multiLevelType w:val="multilevel"/>
    <w:tmpl w:val="0BC28D62"/>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o"/>
      <w:lvlJc w:val="left"/>
      <w:pPr>
        <w:tabs>
          <w:tab w:val="num" w:pos="720"/>
        </w:tabs>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BF552A"/>
    <w:multiLevelType w:val="multilevel"/>
    <w:tmpl w:val="0F08E10C"/>
    <w:lvl w:ilvl="0">
      <w:start w:val="1"/>
      <w:numFmt w:val="decimal"/>
      <w:pStyle w:val="Heading1"/>
      <w:suff w:val="space"/>
      <w:lvlText w:val="Section %1:"/>
      <w:lvlJc w:val="left"/>
      <w:pPr>
        <w:ind w:left="0" w:firstLine="0"/>
      </w:pPr>
      <w:rPr>
        <w:rFonts w:hint="default"/>
      </w:rPr>
    </w:lvl>
    <w:lvl w:ilvl="1">
      <w:start w:val="1"/>
      <w:numFmt w:val="decimal"/>
      <w:pStyle w:val="Heading2"/>
      <w:suff w:val="space"/>
      <w:lvlText w:val="%1.%2"/>
      <w:lvlJc w:val="left"/>
      <w:pPr>
        <w:ind w:left="594" w:hanging="504"/>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1080" w:hanging="1080"/>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3F084C6E"/>
    <w:multiLevelType w:val="multilevel"/>
    <w:tmpl w:val="B9C424B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Wingdings" w:hAnsi="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F8A41F5"/>
    <w:multiLevelType w:val="hybridMultilevel"/>
    <w:tmpl w:val="92765D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5D4642"/>
    <w:multiLevelType w:val="hybridMultilevel"/>
    <w:tmpl w:val="E918C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0E435C"/>
    <w:multiLevelType w:val="hybridMultilevel"/>
    <w:tmpl w:val="46662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1"/>
  </w:num>
  <w:num w:numId="4">
    <w:abstractNumId w:val="1"/>
  </w:num>
  <w:num w:numId="5">
    <w:abstractNumId w:val="1"/>
  </w:num>
  <w:num w:numId="6">
    <w:abstractNumId w:val="5"/>
  </w:num>
  <w:num w:numId="7">
    <w:abstractNumId w:val="2"/>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16"/>
    <w:rsid w:val="00015E4F"/>
    <w:rsid w:val="00062BC3"/>
    <w:rsid w:val="00161501"/>
    <w:rsid w:val="004567D5"/>
    <w:rsid w:val="00530179"/>
    <w:rsid w:val="005A7C96"/>
    <w:rsid w:val="006774F2"/>
    <w:rsid w:val="00702A16"/>
    <w:rsid w:val="007F5242"/>
    <w:rsid w:val="008462E2"/>
    <w:rsid w:val="008904C6"/>
    <w:rsid w:val="008D514D"/>
    <w:rsid w:val="00C5623C"/>
    <w:rsid w:val="00CB6DA5"/>
    <w:rsid w:val="00D0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8193"/>
    <o:shapelayout v:ext="edit">
      <o:idmap v:ext="edit" data="1"/>
    </o:shapelayout>
  </w:shapeDefaults>
  <w:decimalSymbol w:val="."/>
  <w:listSeparator w:val=","/>
  <w15:chartTrackingRefBased/>
  <w15:docId w15:val="{B091D961-6AD2-4FA0-B40C-E0959268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514D"/>
    <w:rPr>
      <w:rFonts w:ascii="Arial" w:hAnsi="Arial"/>
      <w:sz w:val="24"/>
    </w:rPr>
  </w:style>
  <w:style w:type="paragraph" w:styleId="Heading1">
    <w:name w:val="heading 1"/>
    <w:basedOn w:val="Normal"/>
    <w:next w:val="Normal"/>
    <w:link w:val="Heading1Char"/>
    <w:qFormat/>
    <w:rsid w:val="00C5623C"/>
    <w:pPr>
      <w:numPr>
        <w:numId w:val="7"/>
      </w:numPr>
      <w:pBdr>
        <w:bottom w:val="single" w:sz="4" w:space="1" w:color="auto"/>
      </w:pBdr>
      <w:spacing w:line="240" w:lineRule="auto"/>
      <w:jc w:val="center"/>
      <w:outlineLvl w:val="0"/>
    </w:pPr>
    <w:rPr>
      <w:rFonts w:eastAsia="Times New Roman" w:cs="Times New Roman"/>
      <w:b/>
      <w:sz w:val="28"/>
      <w:szCs w:val="20"/>
    </w:rPr>
  </w:style>
  <w:style w:type="paragraph" w:styleId="Heading2">
    <w:name w:val="heading 2"/>
    <w:basedOn w:val="Normal"/>
    <w:next w:val="Normal"/>
    <w:link w:val="Heading2Char"/>
    <w:qFormat/>
    <w:rsid w:val="00C5623C"/>
    <w:pPr>
      <w:keepNext/>
      <w:numPr>
        <w:ilvl w:val="1"/>
        <w:numId w:val="7"/>
      </w:numPr>
      <w:spacing w:line="240" w:lineRule="auto"/>
      <w:ind w:left="504"/>
      <w:outlineLvl w:val="1"/>
    </w:pPr>
    <w:rPr>
      <w:rFonts w:eastAsia="Times New Roman" w:cs="Times New Roman"/>
      <w:b/>
      <w:sz w:val="20"/>
      <w:szCs w:val="20"/>
    </w:rPr>
  </w:style>
  <w:style w:type="paragraph" w:styleId="Heading3">
    <w:name w:val="heading 3"/>
    <w:basedOn w:val="Normal"/>
    <w:next w:val="paragraph"/>
    <w:link w:val="Heading3Char"/>
    <w:qFormat/>
    <w:rsid w:val="00C5623C"/>
    <w:pPr>
      <w:keepNext/>
      <w:numPr>
        <w:ilvl w:val="2"/>
        <w:numId w:val="7"/>
      </w:numPr>
      <w:spacing w:line="240" w:lineRule="auto"/>
      <w:outlineLvl w:val="2"/>
    </w:pPr>
    <w:rPr>
      <w:rFonts w:eastAsia="Times New Roman" w:cs="Times New Roman"/>
      <w:b/>
      <w:sz w:val="20"/>
      <w:szCs w:val="20"/>
    </w:rPr>
  </w:style>
  <w:style w:type="paragraph" w:styleId="Heading4">
    <w:name w:val="heading 4"/>
    <w:basedOn w:val="Heading3"/>
    <w:next w:val="Normal"/>
    <w:link w:val="Heading4Char"/>
    <w:qFormat/>
    <w:rsid w:val="00C5623C"/>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rsid w:val="00702A16"/>
    <w:pPr>
      <w:spacing w:line="240" w:lineRule="auto"/>
      <w:jc w:val="center"/>
    </w:pPr>
    <w:rPr>
      <w:rFonts w:ascii="Arial Narrow" w:eastAsia="Times New Roman" w:hAnsi="Arial Narrow" w:cs="Times New Roman"/>
      <w:b/>
      <w:smallCaps/>
      <w:sz w:val="20"/>
      <w:szCs w:val="20"/>
    </w:rPr>
  </w:style>
  <w:style w:type="character" w:styleId="Hyperlink">
    <w:name w:val="Hyperlink"/>
    <w:basedOn w:val="DefaultParagraphFont"/>
    <w:uiPriority w:val="99"/>
    <w:unhideWhenUsed/>
    <w:rsid w:val="007F5242"/>
    <w:rPr>
      <w:color w:val="0000FF" w:themeColor="hyperlink"/>
      <w:u w:val="single"/>
    </w:rPr>
  </w:style>
  <w:style w:type="character" w:customStyle="1" w:styleId="paragraphChar">
    <w:name w:val="paragraph Char"/>
    <w:basedOn w:val="DefaultParagraphFont"/>
    <w:link w:val="paragraph"/>
    <w:locked/>
    <w:rsid w:val="007F5242"/>
    <w:rPr>
      <w:rFonts w:ascii="Arial" w:hAnsi="Arial" w:cs="Arial"/>
    </w:rPr>
  </w:style>
  <w:style w:type="paragraph" w:customStyle="1" w:styleId="paragraph">
    <w:name w:val="paragraph"/>
    <w:basedOn w:val="Normal"/>
    <w:link w:val="paragraphChar"/>
    <w:rsid w:val="007F5242"/>
    <w:pPr>
      <w:spacing w:line="240" w:lineRule="auto"/>
    </w:pPr>
    <w:rPr>
      <w:rFonts w:cs="Arial"/>
      <w:sz w:val="22"/>
    </w:rPr>
  </w:style>
  <w:style w:type="paragraph" w:styleId="ListParagraph">
    <w:name w:val="List Paragraph"/>
    <w:basedOn w:val="Normal"/>
    <w:uiPriority w:val="34"/>
    <w:qFormat/>
    <w:rsid w:val="007F5242"/>
    <w:pPr>
      <w:ind w:left="720"/>
      <w:contextualSpacing/>
    </w:pPr>
  </w:style>
  <w:style w:type="paragraph" w:styleId="ListBullet">
    <w:name w:val="List Bullet"/>
    <w:basedOn w:val="Normal"/>
    <w:rsid w:val="007F5242"/>
    <w:pPr>
      <w:numPr>
        <w:numId w:val="2"/>
      </w:numPr>
      <w:spacing w:line="240" w:lineRule="auto"/>
    </w:pPr>
    <w:rPr>
      <w:rFonts w:eastAsia="Times New Roman" w:cs="Times New Roman"/>
      <w:sz w:val="20"/>
      <w:szCs w:val="20"/>
    </w:rPr>
  </w:style>
  <w:style w:type="paragraph" w:styleId="ListBullet2">
    <w:name w:val="List Bullet 2"/>
    <w:basedOn w:val="Normal"/>
    <w:rsid w:val="007F5242"/>
    <w:pPr>
      <w:numPr>
        <w:ilvl w:val="1"/>
        <w:numId w:val="2"/>
      </w:numPr>
      <w:spacing w:after="120" w:line="240" w:lineRule="auto"/>
    </w:pPr>
    <w:rPr>
      <w:rFonts w:eastAsia="Times New Roman" w:cs="Times New Roman"/>
      <w:sz w:val="20"/>
      <w:szCs w:val="20"/>
    </w:rPr>
  </w:style>
  <w:style w:type="paragraph" w:styleId="Header">
    <w:name w:val="header"/>
    <w:basedOn w:val="Normal"/>
    <w:link w:val="HeaderChar"/>
    <w:unhideWhenUsed/>
    <w:rsid w:val="00530179"/>
    <w:pPr>
      <w:tabs>
        <w:tab w:val="center" w:pos="4680"/>
        <w:tab w:val="right" w:pos="9360"/>
      </w:tabs>
      <w:spacing w:after="0" w:line="240" w:lineRule="auto"/>
    </w:pPr>
  </w:style>
  <w:style w:type="character" w:customStyle="1" w:styleId="HeaderChar">
    <w:name w:val="Header Char"/>
    <w:basedOn w:val="DefaultParagraphFont"/>
    <w:link w:val="Header"/>
    <w:rsid w:val="00530179"/>
    <w:rPr>
      <w:rFonts w:ascii="Arial" w:hAnsi="Arial"/>
      <w:sz w:val="24"/>
    </w:rPr>
  </w:style>
  <w:style w:type="paragraph" w:styleId="Footer">
    <w:name w:val="footer"/>
    <w:basedOn w:val="Normal"/>
    <w:link w:val="FooterChar"/>
    <w:uiPriority w:val="99"/>
    <w:unhideWhenUsed/>
    <w:rsid w:val="00530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179"/>
    <w:rPr>
      <w:rFonts w:ascii="Arial" w:hAnsi="Arial"/>
      <w:sz w:val="24"/>
    </w:rPr>
  </w:style>
  <w:style w:type="table" w:styleId="TableGrid">
    <w:name w:val="Table Grid"/>
    <w:basedOn w:val="TableNormal"/>
    <w:rsid w:val="00530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5623C"/>
    <w:rPr>
      <w:rFonts w:ascii="Arial" w:eastAsia="Times New Roman" w:hAnsi="Arial" w:cs="Times New Roman"/>
      <w:b/>
      <w:sz w:val="28"/>
      <w:szCs w:val="20"/>
    </w:rPr>
  </w:style>
  <w:style w:type="character" w:customStyle="1" w:styleId="Heading2Char">
    <w:name w:val="Heading 2 Char"/>
    <w:basedOn w:val="DefaultParagraphFont"/>
    <w:link w:val="Heading2"/>
    <w:rsid w:val="00C5623C"/>
    <w:rPr>
      <w:rFonts w:ascii="Arial" w:eastAsia="Times New Roman" w:hAnsi="Arial" w:cs="Times New Roman"/>
      <w:b/>
      <w:sz w:val="20"/>
      <w:szCs w:val="20"/>
    </w:rPr>
  </w:style>
  <w:style w:type="character" w:customStyle="1" w:styleId="Heading3Char">
    <w:name w:val="Heading 3 Char"/>
    <w:basedOn w:val="DefaultParagraphFont"/>
    <w:link w:val="Heading3"/>
    <w:rsid w:val="00C5623C"/>
    <w:rPr>
      <w:rFonts w:ascii="Arial" w:eastAsia="Times New Roman" w:hAnsi="Arial" w:cs="Times New Roman"/>
      <w:b/>
      <w:sz w:val="20"/>
      <w:szCs w:val="20"/>
    </w:rPr>
  </w:style>
  <w:style w:type="character" w:customStyle="1" w:styleId="Heading4Char">
    <w:name w:val="Heading 4 Char"/>
    <w:basedOn w:val="DefaultParagraphFont"/>
    <w:link w:val="Heading4"/>
    <w:rsid w:val="00C5623C"/>
    <w:rPr>
      <w:rFonts w:ascii="Arial" w:eastAsia="Times New Roman" w:hAnsi="Arial" w:cs="Times New Roman"/>
      <w:b/>
      <w:sz w:val="20"/>
      <w:szCs w:val="20"/>
    </w:rPr>
  </w:style>
  <w:style w:type="paragraph" w:customStyle="1" w:styleId="NotetoUser">
    <w:name w:val="Note to User"/>
    <w:basedOn w:val="Normal"/>
    <w:rsid w:val="00C5623C"/>
    <w:pPr>
      <w:keepNext/>
      <w:keepLines/>
      <w:shd w:val="pct15" w:color="auto" w:fill="FFFFFF"/>
      <w:spacing w:line="240" w:lineRule="auto"/>
      <w:ind w:left="720" w:right="720"/>
    </w:pPr>
    <w:rPr>
      <w:rFonts w:eastAsia="Times New Roman" w:cs="Times New Roman"/>
      <w:sz w:val="20"/>
      <w:szCs w:val="20"/>
    </w:rPr>
  </w:style>
  <w:style w:type="character" w:styleId="FollowedHyperlink">
    <w:name w:val="FollowedHyperlink"/>
    <w:basedOn w:val="DefaultParagraphFont"/>
    <w:uiPriority w:val="99"/>
    <w:semiHidden/>
    <w:unhideWhenUsed/>
    <w:rsid w:val="006774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a.europa.eu/approvals-and-standardisation/organisation-approvals/CAO-foreign-part-145-organisations-located-in-the-united-states.php" TargetMode="External"/><Relationship Id="rId13" Type="http://schemas.openxmlformats.org/officeDocument/2006/relationships/hyperlink" Target="http://arsa.org/wp-content/uploads/2013/01/Response-to-S.MacLeod_Continue-in-Service-Process-ARSA-Guidance_2855.pdf" TargetMode="External"/><Relationship Id="rId18" Type="http://schemas.openxmlformats.org/officeDocument/2006/relationships/hyperlink" Target="http://arsa.org/wp-content/uploads/2016/09/ARSA-EASA-MAG6_Inventory-20160921.pdf" TargetMode="External"/><Relationship Id="rId26" Type="http://schemas.openxmlformats.org/officeDocument/2006/relationships/hyperlink" Target="http://www.ecfr.gov/cgi-bin/text-idx?SID=eeef71a4a617dc973a4a2b83edd6b14b&amp;mc=true&amp;node=pt14.1.43&amp;rgn=div5" TargetMode="External"/><Relationship Id="rId3" Type="http://schemas.openxmlformats.org/officeDocument/2006/relationships/styles" Target="styles.xml"/><Relationship Id="rId21" Type="http://schemas.openxmlformats.org/officeDocument/2006/relationships/hyperlink" Target="http://www.faa.gov/forms/index.cfm/go/document.information/documentID/18617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a.gov/forms/index.cfm/go/document.information/documentID/186171" TargetMode="External"/><Relationship Id="rId17" Type="http://schemas.openxmlformats.org/officeDocument/2006/relationships/hyperlink" Target="http://arsa.org/wp-content/uploads/2016/08/n8900_380_20160831.pdf" TargetMode="External"/><Relationship Id="rId25" Type="http://schemas.openxmlformats.org/officeDocument/2006/relationships/hyperlink" Target="http://www.ecfr.gov/cgi-bin/text-idx?SID=eeef71a4a617dc973a4a2b83edd6b14b&amp;mc=true&amp;node=se14.1.21_129&amp;rgn=div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sa.org/wp-content/uploads/2016/05/ARSA-Notice8900_360-20160509.pdf" TargetMode="External"/><Relationship Id="rId20" Type="http://schemas.openxmlformats.org/officeDocument/2006/relationships/hyperlink" Target="http://www.faa.gov/forms/index.cfm/go/document.information/documentID/186171" TargetMode="External"/><Relationship Id="rId29" Type="http://schemas.openxmlformats.org/officeDocument/2006/relationships/hyperlink" Target="http://arsa.org/wp-content/uploads/2016/08/n8900_380_2016083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a.europa.eu/node/15612" TargetMode="External"/><Relationship Id="rId24" Type="http://schemas.openxmlformats.org/officeDocument/2006/relationships/hyperlink" Target="http://www.faa.gov/forms/index.cfm/go/document.information/documentID/186171"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rsa.org/wp-content/uploads/2016/04/FAA-EASA-DeadlineExtension-MAG_CHG5-20160414.pdf" TargetMode="External"/><Relationship Id="rId23" Type="http://schemas.openxmlformats.org/officeDocument/2006/relationships/hyperlink" Target="http://www.ecfr.gov/cgi-bin/text-idx?SID=eeef71a4a617dc973a4a2b83edd6b14b&amp;mc=true&amp;node=pt14.1.43&amp;rgn=div5" TargetMode="External"/><Relationship Id="rId28" Type="http://schemas.openxmlformats.org/officeDocument/2006/relationships/hyperlink" Target="http://www.ecfr.gov/cgi-bin/text-idx?SID=35ad5e964e55e27e33e21208515faebf&amp;mc=true&amp;node=se14.3.145_1217&amp;rgn=div8" TargetMode="External"/><Relationship Id="rId10" Type="http://schemas.openxmlformats.org/officeDocument/2006/relationships/hyperlink" Target="http://www.gpo.gov/fdsys/pkg/CFR-2011-title14-vol3/xml/CFR-2011-title14-vol3-sec145-211.xml" TargetMode="External"/><Relationship Id="rId19" Type="http://schemas.openxmlformats.org/officeDocument/2006/relationships/hyperlink" Target="http://www.faa.gov/forms/index.cfm/go/document.information/documentID/18617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rsa.org/wp-content/uploads/2016/08/n8900_380_20160831.pdf" TargetMode="External"/><Relationship Id="rId14" Type="http://schemas.openxmlformats.org/officeDocument/2006/relationships/hyperlink" Target="http://www.ecfr.gov/cgi-bin/text-idx?SID=eeef71a4a617dc973a4a2b83edd6b14b&amp;mc=true&amp;node=se14.1.21_1137&amp;rgn=div8" TargetMode="External"/><Relationship Id="rId22" Type="http://schemas.openxmlformats.org/officeDocument/2006/relationships/hyperlink" Target="http://www.faa.gov/forms/index.cfm/go/document.information/documentID/186171" TargetMode="External"/><Relationship Id="rId27" Type="http://schemas.openxmlformats.org/officeDocument/2006/relationships/hyperlink" Target="http://www.faa.gov/forms/index.cfm/go/document.information/documentID/186171"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potomac-law.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otomac-law.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arsa.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F76F0-2C0C-4A09-80B8-AF2D8AD4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1751</Words>
  <Characters>9072</Characters>
  <Application>Microsoft Office Word</Application>
  <DocSecurity>0</DocSecurity>
  <Lines>193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MacLeod</dc:creator>
  <cp:keywords/>
  <dc:description/>
  <cp:lastModifiedBy>Ryan Poteet</cp:lastModifiedBy>
  <cp:revision>5</cp:revision>
  <dcterms:created xsi:type="dcterms:W3CDTF">2016-09-21T18:49:00Z</dcterms:created>
  <dcterms:modified xsi:type="dcterms:W3CDTF">2016-09-21T21:17:00Z</dcterms:modified>
</cp:coreProperties>
</file>